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511" w:rsidRPr="00115B37" w:rsidRDefault="00FF1FA3" w:rsidP="00CA0511">
      <w:pPr>
        <w:jc w:val="center"/>
        <w:rPr>
          <w:b/>
        </w:rPr>
      </w:pPr>
      <w:proofErr w:type="gramStart"/>
      <w:r>
        <w:rPr>
          <w:b/>
        </w:rPr>
        <w:t xml:space="preserve">The Public's Anger </w:t>
      </w:r>
      <w:r w:rsidR="00187EDE" w:rsidRPr="00115B37">
        <w:rPr>
          <w:b/>
        </w:rPr>
        <w:t>or the Public's Fear</w:t>
      </w:r>
      <w:r w:rsidR="00115B37" w:rsidRPr="00115B37">
        <w:rPr>
          <w:b/>
        </w:rPr>
        <w:t>?</w:t>
      </w:r>
      <w:proofErr w:type="gramEnd"/>
      <w:r w:rsidR="00187EDE" w:rsidRPr="00115B37">
        <w:rPr>
          <w:b/>
        </w:rPr>
        <w:t xml:space="preserve"> </w:t>
      </w:r>
      <w:r w:rsidR="00115B37" w:rsidRPr="00115B37">
        <w:rPr>
          <w:b/>
        </w:rPr>
        <w:t xml:space="preserve">Revisiting </w:t>
      </w:r>
      <w:r w:rsidR="00CA0511" w:rsidRPr="00115B37">
        <w:rPr>
          <w:b/>
        </w:rPr>
        <w:t xml:space="preserve">"The Public's Anger: </w:t>
      </w:r>
    </w:p>
    <w:p w:rsidR="000B57FA" w:rsidRPr="00CA0511" w:rsidRDefault="00CA0511" w:rsidP="00CA0511">
      <w:pPr>
        <w:jc w:val="center"/>
        <w:rPr>
          <w:b/>
        </w:rPr>
      </w:pPr>
      <w:r w:rsidRPr="00115B37">
        <w:rPr>
          <w:b/>
        </w:rPr>
        <w:t xml:space="preserve">White Racial Attitudes and Opinions </w:t>
      </w:r>
      <w:proofErr w:type="gramStart"/>
      <w:r w:rsidRPr="00115B37">
        <w:rPr>
          <w:b/>
        </w:rPr>
        <w:t>Toward</w:t>
      </w:r>
      <w:proofErr w:type="gramEnd"/>
      <w:r w:rsidRPr="00115B37">
        <w:rPr>
          <w:b/>
        </w:rPr>
        <w:t xml:space="preserve"> Health Care Reform"</w:t>
      </w:r>
    </w:p>
    <w:p w:rsidR="00CA0511" w:rsidRDefault="00CA0511"/>
    <w:p w:rsidR="00FE3B35" w:rsidRDefault="00FE3B35" w:rsidP="00FE3B35">
      <w:pPr>
        <w:spacing w:line="480" w:lineRule="auto"/>
      </w:pPr>
    </w:p>
    <w:p w:rsidR="002B13FD" w:rsidRDefault="008B2751" w:rsidP="00FE3B35">
      <w:pPr>
        <w:spacing w:line="480" w:lineRule="auto"/>
      </w:pPr>
      <w:r>
        <w:t xml:space="preserve">Many social </w:t>
      </w:r>
      <w:r w:rsidR="00D371CE">
        <w:t>scientists</w:t>
      </w:r>
      <w:r>
        <w:t xml:space="preserve"> have become concerned about "</w:t>
      </w:r>
      <w:r w:rsidR="002B13FD">
        <w:t xml:space="preserve">researcher degrees of freedom" </w:t>
      </w:r>
      <w:r>
        <w:t xml:space="preserve">in which </w:t>
      </w:r>
      <w:r w:rsidR="0044059B">
        <w:t>latitude</w:t>
      </w:r>
      <w:r w:rsidR="002B13FD">
        <w:t xml:space="preserve"> in data analysis </w:t>
      </w:r>
      <w:r>
        <w:t>can produce incorrect inferences (</w:t>
      </w:r>
      <w:r w:rsidR="002B13FD">
        <w:t>Simmons et al. 2011</w:t>
      </w:r>
      <w:r w:rsidR="00627C30">
        <w:t xml:space="preserve">, </w:t>
      </w:r>
      <w:proofErr w:type="spellStart"/>
      <w:r w:rsidR="00627C30">
        <w:t>Gelman</w:t>
      </w:r>
      <w:proofErr w:type="spellEnd"/>
      <w:r w:rsidR="00627C30">
        <w:t xml:space="preserve"> and </w:t>
      </w:r>
      <w:proofErr w:type="spellStart"/>
      <w:r w:rsidR="00627C30">
        <w:t>Loken</w:t>
      </w:r>
      <w:proofErr w:type="spellEnd"/>
      <w:r w:rsidR="00627C30">
        <w:t xml:space="preserve"> 2014</w:t>
      </w:r>
      <w:r w:rsidR="002B13FD">
        <w:t>). Sometimes data permit multiple inferences</w:t>
      </w:r>
      <w:r w:rsidR="008913AB">
        <w:t>,</w:t>
      </w:r>
      <w:r w:rsidR="002B13FD">
        <w:t xml:space="preserve"> </w:t>
      </w:r>
      <w:r w:rsidR="003725AB">
        <w:t xml:space="preserve">and in these cases is it important to identify all of the inferences that can be drawn from the data; otherwise, </w:t>
      </w:r>
      <w:r w:rsidR="002B13FD">
        <w:t xml:space="preserve">reporting only a subset of </w:t>
      </w:r>
      <w:r w:rsidR="003725AB">
        <w:t xml:space="preserve">possible </w:t>
      </w:r>
      <w:r w:rsidR="002B13FD">
        <w:t xml:space="preserve">inferences can </w:t>
      </w:r>
      <w:r>
        <w:t xml:space="preserve">produce </w:t>
      </w:r>
      <w:r w:rsidR="007350E2">
        <w:t xml:space="preserve">false </w:t>
      </w:r>
      <w:r w:rsidR="003725AB">
        <w:t>confidence</w:t>
      </w:r>
      <w:r w:rsidR="007350E2">
        <w:t xml:space="preserve"> about the reported </w:t>
      </w:r>
      <w:r>
        <w:t>infer</w:t>
      </w:r>
      <w:r w:rsidR="007350E2">
        <w:t>ences</w:t>
      </w:r>
      <w:r w:rsidR="002B13FD">
        <w:t xml:space="preserve">. </w:t>
      </w:r>
      <w:r w:rsidR="00506C65">
        <w:t>Below</w:t>
      </w:r>
      <w:r>
        <w:t xml:space="preserve">, I report on a study that investigated the influence of three emotions on opinions about </w:t>
      </w:r>
      <w:r w:rsidRPr="00581B28">
        <w:t>Barack Obama and the Democrats' health care reform</w:t>
      </w:r>
      <w:r>
        <w:rPr>
          <w:rFonts w:hint="eastAsia"/>
        </w:rPr>
        <w:t>.</w:t>
      </w:r>
      <w:r>
        <w:t xml:space="preserve"> In the initial </w:t>
      </w:r>
      <w:r w:rsidR="007350E2">
        <w:t xml:space="preserve">reported </w:t>
      </w:r>
      <w:r>
        <w:t xml:space="preserve">analysis of the data, </w:t>
      </w:r>
      <w:r w:rsidR="002B13FD">
        <w:t xml:space="preserve">Banks (2014) </w:t>
      </w:r>
      <w:r w:rsidR="00906724">
        <w:t>presented evidence that "anger uniquely increases the impact of racial atti</w:t>
      </w:r>
      <w:r w:rsidR="0029186D">
        <w:t xml:space="preserve">tudes on </w:t>
      </w:r>
      <w:r>
        <w:t xml:space="preserve">health care opinions" (p. 508); however, my analysis </w:t>
      </w:r>
      <w:r w:rsidR="002B13FD">
        <w:t>indicate</w:t>
      </w:r>
      <w:r w:rsidR="005624CF">
        <w:t>d</w:t>
      </w:r>
      <w:r w:rsidR="002B13FD">
        <w:t xml:space="preserve"> </w:t>
      </w:r>
      <w:r w:rsidR="003725AB">
        <w:t xml:space="preserve">another possible inference from the data, namely, </w:t>
      </w:r>
      <w:r w:rsidR="002B13FD">
        <w:t>that</w:t>
      </w:r>
      <w:r w:rsidR="002B13FD">
        <w:rPr>
          <w:rFonts w:hint="eastAsia"/>
        </w:rPr>
        <w:t>, compared to a baseline,</w:t>
      </w:r>
      <w:r w:rsidR="002B13FD">
        <w:t xml:space="preserve"> fear </w:t>
      </w:r>
      <w:r w:rsidR="002B13FD">
        <w:rPr>
          <w:rFonts w:ascii="Symbol" w:hAnsi="Symbol"/>
        </w:rPr>
        <w:t></w:t>
      </w:r>
      <w:r w:rsidR="002B13FD">
        <w:t xml:space="preserve"> but not anger or enthusiasm </w:t>
      </w:r>
      <w:r w:rsidR="002B13FD">
        <w:rPr>
          <w:rFonts w:ascii="Symbol" w:hAnsi="Symbol"/>
        </w:rPr>
        <w:t></w:t>
      </w:r>
      <w:r w:rsidR="002B13FD">
        <w:rPr>
          <w:rFonts w:hint="eastAsia"/>
        </w:rPr>
        <w:t xml:space="preserve"> </w:t>
      </w:r>
      <w:r w:rsidR="002B13FD">
        <w:t xml:space="preserve">caused </w:t>
      </w:r>
      <w:r w:rsidR="002B13FD">
        <w:rPr>
          <w:rFonts w:hint="eastAsia"/>
        </w:rPr>
        <w:t xml:space="preserve">a </w:t>
      </w:r>
      <w:r w:rsidR="002B13FD">
        <w:t xml:space="preserve">statistically significant </w:t>
      </w:r>
      <w:r w:rsidR="002B13FD">
        <w:rPr>
          <w:rFonts w:hint="eastAsia"/>
        </w:rPr>
        <w:t xml:space="preserve">increase </w:t>
      </w:r>
      <w:r w:rsidR="002B13FD">
        <w:t>i</w:t>
      </w:r>
      <w:r w:rsidR="002B13FD">
        <w:rPr>
          <w:rFonts w:hint="eastAsia"/>
        </w:rPr>
        <w:t xml:space="preserve">n the </w:t>
      </w:r>
      <w:r w:rsidR="002B13FD">
        <w:t xml:space="preserve">influence of racial attitudes </w:t>
      </w:r>
      <w:r w:rsidR="002B13FD">
        <w:rPr>
          <w:rFonts w:hint="eastAsia"/>
        </w:rPr>
        <w:t xml:space="preserve">on views </w:t>
      </w:r>
      <w:r w:rsidR="002B13FD">
        <w:t xml:space="preserve">of </w:t>
      </w:r>
      <w:r w:rsidR="00581B28" w:rsidRPr="00581B28">
        <w:t>Barack Obama and the Democrats' health care reform</w:t>
      </w:r>
      <w:r w:rsidR="002B13FD">
        <w:rPr>
          <w:rFonts w:hint="eastAsia"/>
        </w:rPr>
        <w:t>.</w:t>
      </w:r>
    </w:p>
    <w:p w:rsidR="00906724" w:rsidRDefault="00906724" w:rsidP="00FE3B35">
      <w:pPr>
        <w:spacing w:line="480" w:lineRule="auto"/>
      </w:pPr>
    </w:p>
    <w:p w:rsidR="00906724" w:rsidRPr="00906724" w:rsidRDefault="00906724" w:rsidP="00FE3B35">
      <w:pPr>
        <w:spacing w:line="480" w:lineRule="auto"/>
        <w:rPr>
          <w:b/>
        </w:rPr>
      </w:pPr>
      <w:r w:rsidRPr="00906724">
        <w:rPr>
          <w:b/>
        </w:rPr>
        <w:t>Review of the Experiment</w:t>
      </w:r>
    </w:p>
    <w:p w:rsidR="00032CF6" w:rsidRDefault="00906724" w:rsidP="00FE3B35">
      <w:pPr>
        <w:spacing w:line="480" w:lineRule="auto"/>
      </w:pPr>
      <w:r>
        <w:t xml:space="preserve">Data for the survey experiment were collected by Knowledge Networks </w:t>
      </w:r>
      <w:r w:rsidR="005624CF">
        <w:t>in</w:t>
      </w:r>
      <w:r>
        <w:t xml:space="preserve"> June and July </w:t>
      </w:r>
      <w:r w:rsidR="005624CF">
        <w:t>of 2</w:t>
      </w:r>
      <w:r>
        <w:t>010</w:t>
      </w:r>
      <w:r w:rsidR="001371BF">
        <w:t xml:space="preserve">, with </w:t>
      </w:r>
      <w:r w:rsidR="00581B28">
        <w:t>funding from</w:t>
      </w:r>
      <w:r w:rsidR="0024407E">
        <w:t xml:space="preserve"> the Time-s</w:t>
      </w:r>
      <w:r>
        <w:t xml:space="preserve">haring Experiments for the Social Sciences. </w:t>
      </w:r>
      <w:r w:rsidR="007712D6">
        <w:t>The dataset had</w:t>
      </w:r>
      <w:r w:rsidR="0042468F">
        <w:t xml:space="preserve"> 986 respondents, all of whom w</w:t>
      </w:r>
      <w:r w:rsidR="007712D6">
        <w:t xml:space="preserve">ere white non-Hispanic. </w:t>
      </w:r>
      <w:r w:rsidR="00032CF6">
        <w:t xml:space="preserve">The </w:t>
      </w:r>
      <w:r w:rsidR="00581B28">
        <w:t xml:space="preserve">two </w:t>
      </w:r>
      <w:r w:rsidR="00032CF6">
        <w:t>wave</w:t>
      </w:r>
      <w:r w:rsidR="00581B28">
        <w:t>s</w:t>
      </w:r>
      <w:r w:rsidR="00032CF6">
        <w:t xml:space="preserve"> of the survey had </w:t>
      </w:r>
      <w:r w:rsidR="00581B28">
        <w:t>respective</w:t>
      </w:r>
      <w:r w:rsidR="00032CF6">
        <w:t xml:space="preserve"> response rate</w:t>
      </w:r>
      <w:r w:rsidR="00581B28">
        <w:t>s</w:t>
      </w:r>
      <w:r w:rsidR="00032CF6">
        <w:t xml:space="preserve"> of 70.5</w:t>
      </w:r>
      <w:r w:rsidR="00581B28">
        <w:t xml:space="preserve">% and </w:t>
      </w:r>
      <w:r w:rsidR="00032CF6">
        <w:t>77.5%.</w:t>
      </w:r>
    </w:p>
    <w:p w:rsidR="00F81EF0" w:rsidRDefault="00581B28" w:rsidP="00FE3B35">
      <w:pPr>
        <w:spacing w:line="480" w:lineRule="auto"/>
        <w:ind w:firstLine="720"/>
      </w:pPr>
      <w:r>
        <w:lastRenderedPageBreak/>
        <w:t>In the first wave</w:t>
      </w:r>
      <w:r w:rsidR="00F81EF0">
        <w:t>, respondents were asked</w:t>
      </w:r>
      <w:r w:rsidR="00383A57">
        <w:t>:</w:t>
      </w:r>
      <w:r w:rsidR="00F81EF0">
        <w:t xml:space="preserve"> six items measuring </w:t>
      </w:r>
      <w:r w:rsidR="001371BF">
        <w:t>symbolic racism</w:t>
      </w:r>
      <w:r w:rsidR="00383A57">
        <w:t>;</w:t>
      </w:r>
      <w:r w:rsidR="00F81EF0">
        <w:t xml:space="preserve"> a single item measuring support for limited governm</w:t>
      </w:r>
      <w:r>
        <w:t>ent</w:t>
      </w:r>
      <w:r w:rsidR="00383A57">
        <w:t xml:space="preserve">; </w:t>
      </w:r>
      <w:r w:rsidR="00F81EF0">
        <w:t xml:space="preserve">and items about political party membership, political ideology, religious denomination, and frequency of religious services attendance. </w:t>
      </w:r>
      <w:r w:rsidR="00C501A6">
        <w:t xml:space="preserve">See the </w:t>
      </w:r>
      <w:r w:rsidR="008E1C4C" w:rsidRPr="008E1C4C">
        <w:t>Supplemental Information</w:t>
      </w:r>
      <w:r w:rsidR="005E4214">
        <w:t xml:space="preserve"> </w:t>
      </w:r>
      <w:r w:rsidR="00C501A6">
        <w:t>for the measurement of symbolic racism and su</w:t>
      </w:r>
      <w:r w:rsidR="00C501A6" w:rsidRPr="00C501A6">
        <w:t>pport for limited</w:t>
      </w:r>
      <w:r w:rsidR="00C501A6">
        <w:t xml:space="preserve"> government.</w:t>
      </w:r>
    </w:p>
    <w:p w:rsidR="00F81EF0" w:rsidRDefault="00F81EF0" w:rsidP="00FE3B35">
      <w:pPr>
        <w:spacing w:line="480" w:lineRule="auto"/>
        <w:ind w:firstLine="720"/>
      </w:pPr>
      <w:r>
        <w:t xml:space="preserve">The second wave was </w:t>
      </w:r>
      <w:r w:rsidR="00AA0D9F">
        <w:t xml:space="preserve">conducted </w:t>
      </w:r>
      <w:r w:rsidR="000E542A">
        <w:t xml:space="preserve">a few days </w:t>
      </w:r>
      <w:r w:rsidR="005624CF">
        <w:t>to</w:t>
      </w:r>
      <w:r w:rsidR="000E542A">
        <w:t xml:space="preserve"> a few weeks</w:t>
      </w:r>
      <w:r w:rsidR="00AA0D9F">
        <w:t xml:space="preserve"> later. Respondents were placed into one of four conditions intended to trigger a particular emotion</w:t>
      </w:r>
      <w:r w:rsidR="000E542A">
        <w:t xml:space="preserve"> or feeling</w:t>
      </w:r>
      <w:r w:rsidR="00AA0D9F">
        <w:t>. Some respondents were placed into a condition intended to trig</w:t>
      </w:r>
      <w:r w:rsidR="000E542A">
        <w:t xml:space="preserve">ger </w:t>
      </w:r>
      <w:r w:rsidR="00AA0D9F">
        <w:t>anger</w:t>
      </w:r>
      <w:r w:rsidR="000E542A">
        <w:t xml:space="preserve">, </w:t>
      </w:r>
      <w:r w:rsidR="00AA0D9F">
        <w:t>fear</w:t>
      </w:r>
      <w:r w:rsidR="000E542A">
        <w:t xml:space="preserve">, or </w:t>
      </w:r>
      <w:r w:rsidR="00AA0D9F">
        <w:t>enthusiasm: these respondents were shown a photo of [an angry/a fearful/an enthusiastic] person and given these instructions:</w:t>
      </w:r>
    </w:p>
    <w:p w:rsidR="00AA0D9F" w:rsidRDefault="00AA0D9F" w:rsidP="00FE3B35">
      <w:pPr>
        <w:spacing w:line="480" w:lineRule="auto"/>
        <w:ind w:left="1440" w:right="1440"/>
      </w:pPr>
      <w:r w:rsidRPr="00AA0D9F">
        <w:t xml:space="preserve">Here is a picture of someone who is </w:t>
      </w:r>
      <w:r>
        <w:t>[</w:t>
      </w:r>
      <w:r w:rsidRPr="00AA0D9F">
        <w:t>ANGRY</w:t>
      </w:r>
      <w:r>
        <w:t>/AFRAID/ENTHUSIASTIC]</w:t>
      </w:r>
      <w:r w:rsidRPr="00AA0D9F">
        <w:t xml:space="preserve">. We would like you to describe in general things that make you feel like the person in the picture.  It is okay if you don't remember all the details, just be specific about what exactly it is that makes you </w:t>
      </w:r>
      <w:r>
        <w:t>[</w:t>
      </w:r>
      <w:r w:rsidRPr="00AA0D9F">
        <w:t>ANGRY</w:t>
      </w:r>
      <w:r>
        <w:t>/AFRAID/ENTHUSIASTIC]</w:t>
      </w:r>
      <w:r w:rsidRPr="00AA0D9F">
        <w:t xml:space="preserve"> and what it feels like to be </w:t>
      </w:r>
      <w:r>
        <w:t>[</w:t>
      </w:r>
      <w:r w:rsidRPr="00AA0D9F">
        <w:t>ANGRY</w:t>
      </w:r>
      <w:r>
        <w:t>/AFRAID/ENTHUSIASTIC]</w:t>
      </w:r>
      <w:r w:rsidRPr="00AA0D9F">
        <w:t xml:space="preserve">.  Please describe the events that make you feel the MOST </w:t>
      </w:r>
      <w:r>
        <w:t>[</w:t>
      </w:r>
      <w:r w:rsidRPr="00AA0D9F">
        <w:t>ANGRY</w:t>
      </w:r>
      <w:r>
        <w:t>/AFRAID/ENTHUSIASTIC]</w:t>
      </w:r>
      <w:r w:rsidRPr="00AA0D9F">
        <w:t xml:space="preserve">, these experiences could have occurred in the past or will happen in the future.  If you can, write your description so that someone reading it might even feel </w:t>
      </w:r>
      <w:r>
        <w:t>[</w:t>
      </w:r>
      <w:r w:rsidRPr="00AA0D9F">
        <w:t>ANGRY</w:t>
      </w:r>
      <w:r>
        <w:t>/AFRAID/ENTHUSIASTIC]</w:t>
      </w:r>
      <w:r w:rsidRPr="00AA0D9F">
        <w:t xml:space="preserve">. </w:t>
      </w:r>
    </w:p>
    <w:p w:rsidR="00AA0D9F" w:rsidRDefault="00AA0D9F" w:rsidP="00FE3B35">
      <w:pPr>
        <w:spacing w:line="480" w:lineRule="auto"/>
        <w:ind w:firstLine="720"/>
      </w:pPr>
      <w:r>
        <w:lastRenderedPageBreak/>
        <w:t>Respondents in the relaxed condition were not given a photo but received this prompt:</w:t>
      </w:r>
    </w:p>
    <w:p w:rsidR="00AA0D9F" w:rsidRDefault="00AA0D9F" w:rsidP="00FE3B35">
      <w:pPr>
        <w:spacing w:line="480" w:lineRule="auto"/>
        <w:ind w:left="1440" w:right="1440"/>
      </w:pPr>
      <w:r w:rsidRPr="00AA0D9F">
        <w:t>Now we would like you to describe in general things that make you feel RELAXED.  It is okay if you don't remember all the details, just be specific about what exactly it is that makes you RELAXED and what it feels like to be RELAXED. Please describe the events that make you feel the MOST RELAXED, these experiences could have occurred in the past or will happen in the future.  If you can, write your description so that someone reading it might even feel RELAXED.</w:t>
      </w:r>
    </w:p>
    <w:p w:rsidR="00AA0D9F" w:rsidRDefault="00AA0D9F" w:rsidP="00FE3B35">
      <w:pPr>
        <w:spacing w:line="480" w:lineRule="auto"/>
        <w:ind w:firstLine="720"/>
      </w:pPr>
      <w:r>
        <w:t xml:space="preserve">Following the </w:t>
      </w:r>
      <w:r w:rsidR="005624CF">
        <w:t>treatment</w:t>
      </w:r>
      <w:r>
        <w:t xml:space="preserve">, respondents were asked </w:t>
      </w:r>
      <w:r w:rsidR="00383A57">
        <w:t>to report</w:t>
      </w:r>
      <w:r w:rsidR="005624CF">
        <w:t xml:space="preserve"> </w:t>
      </w:r>
      <w:r w:rsidR="001371BF">
        <w:t xml:space="preserve">views </w:t>
      </w:r>
      <w:r w:rsidR="005624CF">
        <w:t>regarding</w:t>
      </w:r>
      <w:r w:rsidR="001371BF">
        <w:t xml:space="preserve"> </w:t>
      </w:r>
      <w:r>
        <w:t>Barack Obama and the Democrat</w:t>
      </w:r>
      <w:r w:rsidR="005624CF">
        <w:t>s</w:t>
      </w:r>
      <w:r>
        <w:t>' health care reform bill:</w:t>
      </w:r>
    </w:p>
    <w:p w:rsidR="00AA0D9F" w:rsidRDefault="00AA0D9F" w:rsidP="00FE3B35">
      <w:pPr>
        <w:spacing w:line="480" w:lineRule="auto"/>
        <w:ind w:left="1440" w:right="1440"/>
      </w:pPr>
      <w:r w:rsidRPr="00AA0D9F">
        <w:t xml:space="preserve">Do you approve or disapprove of the way Barack Obama is handling Health Care? Please indicate whether you approve strongly, approve somewhat, </w:t>
      </w:r>
      <w:proofErr w:type="gramStart"/>
      <w:r w:rsidRPr="00AA0D9F">
        <w:t>neither approve nor disapprove, disapprove</w:t>
      </w:r>
      <w:proofErr w:type="gramEnd"/>
      <w:r w:rsidRPr="00AA0D9F">
        <w:t xml:space="preserve"> somewhat, or disapprove strongly.</w:t>
      </w:r>
    </w:p>
    <w:p w:rsidR="00FE3B35" w:rsidRDefault="00FE3B35" w:rsidP="00FE3B35">
      <w:pPr>
        <w:spacing w:line="480" w:lineRule="auto"/>
        <w:ind w:left="1440" w:right="1440"/>
      </w:pPr>
    </w:p>
    <w:p w:rsidR="00AA0D9F" w:rsidRDefault="00AA0D9F" w:rsidP="00FE3B35">
      <w:pPr>
        <w:spacing w:line="480" w:lineRule="auto"/>
        <w:ind w:left="1440" w:right="1440"/>
      </w:pPr>
      <w:r w:rsidRPr="00AA0D9F">
        <w:t>As of right now, do you favor or oppose</w:t>
      </w:r>
      <w:r>
        <w:t xml:space="preserve"> Barack Obama and the Democrats'</w:t>
      </w:r>
      <w:r w:rsidRPr="00AA0D9F">
        <w:t xml:space="preserve"> Health Care reform bill?</w:t>
      </w:r>
    </w:p>
    <w:p w:rsidR="00AA0D9F" w:rsidRDefault="00AA0D9F" w:rsidP="00FE3B35">
      <w:pPr>
        <w:spacing w:line="480" w:lineRule="auto"/>
        <w:ind w:firstLine="720"/>
      </w:pPr>
      <w:r>
        <w:t xml:space="preserve">Respondents who </w:t>
      </w:r>
      <w:r w:rsidR="00383A57">
        <w:t>reported favoring</w:t>
      </w:r>
      <w:r>
        <w:t xml:space="preserve"> the </w:t>
      </w:r>
      <w:r w:rsidRPr="00AA0D9F">
        <w:t>reform bill</w:t>
      </w:r>
      <w:r>
        <w:t xml:space="preserve"> </w:t>
      </w:r>
      <w:r w:rsidR="00383A57">
        <w:t xml:space="preserve">in the second item </w:t>
      </w:r>
      <w:r>
        <w:t xml:space="preserve">were asked to </w:t>
      </w:r>
      <w:r w:rsidR="00383A57">
        <w:t>report</w:t>
      </w:r>
      <w:r>
        <w:t xml:space="preserve"> whether they favored th</w:t>
      </w:r>
      <w:r w:rsidR="001371BF">
        <w:t xml:space="preserve">e bill strongly or not strongly; </w:t>
      </w:r>
      <w:r>
        <w:t xml:space="preserve">respondents who </w:t>
      </w:r>
      <w:r w:rsidR="00383A57">
        <w:t>reported opposing</w:t>
      </w:r>
      <w:r>
        <w:t xml:space="preserve"> the </w:t>
      </w:r>
      <w:r w:rsidRPr="00AA0D9F">
        <w:t>reform bill</w:t>
      </w:r>
      <w:r>
        <w:t xml:space="preserve"> were asked to indicate whether they opposed the bill strongly or not strongly.</w:t>
      </w:r>
      <w:r w:rsidR="00BC1508">
        <w:t xml:space="preserve"> </w:t>
      </w:r>
    </w:p>
    <w:p w:rsidR="00AA0D9F" w:rsidRPr="00AA0D9F" w:rsidRDefault="00AA0D9F" w:rsidP="00FE3B35">
      <w:pPr>
        <w:spacing w:line="480" w:lineRule="auto"/>
        <w:rPr>
          <w:b/>
        </w:rPr>
      </w:pPr>
      <w:r w:rsidRPr="00AA0D9F">
        <w:rPr>
          <w:b/>
        </w:rPr>
        <w:lastRenderedPageBreak/>
        <w:t>Research Design</w:t>
      </w:r>
    </w:p>
    <w:p w:rsidR="0042468F" w:rsidRDefault="0042468F" w:rsidP="00FE3B35">
      <w:pPr>
        <w:spacing w:line="480" w:lineRule="auto"/>
      </w:pPr>
      <w:r>
        <w:t xml:space="preserve">There were three dependent variables in the analysis. First, disapproval of </w:t>
      </w:r>
      <w:r w:rsidRPr="00AA0D9F">
        <w:t xml:space="preserve">the way Barack Obama is handling </w:t>
      </w:r>
      <w:r w:rsidR="00187EDE" w:rsidRPr="00AA0D9F">
        <w:t>health care</w:t>
      </w:r>
      <w:r w:rsidR="00187EDE">
        <w:t xml:space="preserve"> was</w:t>
      </w:r>
      <w:r>
        <w:t xml:space="preserve"> coded from 1 (approve strongly) to 5 (disapprove strongly). Second, </w:t>
      </w:r>
      <w:r w:rsidRPr="00AA0D9F">
        <w:t>oppos</w:t>
      </w:r>
      <w:r w:rsidR="00187EDE">
        <w:t>ition to</w:t>
      </w:r>
      <w:r>
        <w:t xml:space="preserve"> Barack Obama and the Democrats' health care reform bill w</w:t>
      </w:r>
      <w:r w:rsidR="00187EDE">
        <w:t>as</w:t>
      </w:r>
      <w:r>
        <w:t xml:space="preserve"> coded in a single dependent variable from 0 (</w:t>
      </w:r>
      <w:r w:rsidR="00187EDE">
        <w:t>favor strongly</w:t>
      </w:r>
      <w:r>
        <w:t>) to 3 (oppose</w:t>
      </w:r>
      <w:r w:rsidR="00187EDE">
        <w:t xml:space="preserve"> strongly</w:t>
      </w:r>
      <w:r>
        <w:t xml:space="preserve">); respondents who indicated that they favored or opposed the bill but did not respond to the follow-up item were respectively coded as favoring or opposing the bill not strongly. </w:t>
      </w:r>
      <w:r w:rsidR="00187EDE">
        <w:t>Third, the two aforementioned items were used to construct a scale for negative views of Barack Obama and the Democrats' health care reform, which had a Cronbach's alpha of 0.93 (Cronbach 1</w:t>
      </w:r>
      <w:r w:rsidR="00123228">
        <w:t>951); r</w:t>
      </w:r>
      <w:r>
        <w:t xml:space="preserve">esponses to </w:t>
      </w:r>
      <w:r w:rsidR="00187EDE">
        <w:t>each dependent variable</w:t>
      </w:r>
      <w:r w:rsidR="001371BF">
        <w:t xml:space="preserve"> were standardized so that </w:t>
      </w:r>
      <w:r w:rsidR="00383A57">
        <w:t xml:space="preserve">item </w:t>
      </w:r>
      <w:r w:rsidR="00F90C5F">
        <w:t>mean</w:t>
      </w:r>
      <w:r w:rsidR="001371BF">
        <w:t>s</w:t>
      </w:r>
      <w:r w:rsidR="00F90C5F">
        <w:t xml:space="preserve"> and standard deviation</w:t>
      </w:r>
      <w:r w:rsidR="001371BF">
        <w:t>s</w:t>
      </w:r>
      <w:r w:rsidR="00F90C5F">
        <w:t xml:space="preserve"> were respectively 0 and 1, with higher values indicating stronger </w:t>
      </w:r>
      <w:r w:rsidR="003639D6">
        <w:t xml:space="preserve">disapproval or </w:t>
      </w:r>
      <w:r w:rsidR="00F90C5F">
        <w:t>op</w:t>
      </w:r>
      <w:r w:rsidR="00187EDE">
        <w:t>position.</w:t>
      </w:r>
    </w:p>
    <w:p w:rsidR="00AA0D9F" w:rsidRDefault="00F90C5F" w:rsidP="00FE3B35">
      <w:pPr>
        <w:spacing w:line="480" w:lineRule="auto"/>
        <w:ind w:firstLine="720"/>
      </w:pPr>
      <w:r>
        <w:t xml:space="preserve">Responses to these three variables were </w:t>
      </w:r>
      <w:r w:rsidR="00DF00FA">
        <w:t>estimated</w:t>
      </w:r>
      <w:r w:rsidR="0042468F">
        <w:t xml:space="preserve"> in </w:t>
      </w:r>
      <w:r w:rsidR="00E9379B">
        <w:t>model</w:t>
      </w:r>
      <w:r w:rsidR="0042468F">
        <w:t>s</w:t>
      </w:r>
      <w:r w:rsidR="00E9379B">
        <w:t xml:space="preserve"> that included</w:t>
      </w:r>
      <w:r w:rsidR="005624CF">
        <w:t>:</w:t>
      </w:r>
      <w:r w:rsidR="00184452">
        <w:t xml:space="preserve"> </w:t>
      </w:r>
      <w:r w:rsidR="00E9379B">
        <w:t>separate dichotomous variable</w:t>
      </w:r>
      <w:r w:rsidR="00184452">
        <w:t>s</w:t>
      </w:r>
      <w:r w:rsidR="00E9379B">
        <w:t xml:space="preserve"> for the anger, fear, and enthusiasm condition</w:t>
      </w:r>
      <w:r w:rsidR="00DF00FA">
        <w:t>s</w:t>
      </w:r>
      <w:r w:rsidR="005624CF">
        <w:t>;</w:t>
      </w:r>
      <w:r w:rsidR="00E9379B">
        <w:t xml:space="preserve"> a variable for </w:t>
      </w:r>
      <w:r w:rsidR="00DF00FA">
        <w:t>symbolic racism</w:t>
      </w:r>
      <w:r w:rsidR="00187EDE">
        <w:t>,</w:t>
      </w:r>
      <w:r w:rsidR="00E9379B">
        <w:t xml:space="preserve"> </w:t>
      </w:r>
      <w:r w:rsidR="001371BF">
        <w:t>support for limited government</w:t>
      </w:r>
      <w:r w:rsidR="00187EDE">
        <w:t>, or partisanship</w:t>
      </w:r>
      <w:r w:rsidR="005624CF">
        <w:t>;</w:t>
      </w:r>
      <w:r w:rsidR="00E9379B">
        <w:t xml:space="preserve"> and interaction terms between condition variables and </w:t>
      </w:r>
      <w:r w:rsidR="00187EDE">
        <w:t xml:space="preserve">symbolic racism, </w:t>
      </w:r>
      <w:r w:rsidR="001371BF">
        <w:t>support for limited government</w:t>
      </w:r>
      <w:r w:rsidR="00187EDE">
        <w:t>, or partisanship</w:t>
      </w:r>
      <w:r w:rsidR="00E9379B">
        <w:t xml:space="preserve">. </w:t>
      </w:r>
      <w:r w:rsidR="00DF00FA">
        <w:t>Symbolic racism</w:t>
      </w:r>
      <w:r w:rsidR="00187EDE">
        <w:t>,</w:t>
      </w:r>
      <w:r w:rsidR="00E9379B">
        <w:t xml:space="preserve"> </w:t>
      </w:r>
      <w:r w:rsidR="001371BF">
        <w:t>support for limited government</w:t>
      </w:r>
      <w:r w:rsidR="00187EDE">
        <w:t xml:space="preserve">, and partisanship </w:t>
      </w:r>
      <w:r w:rsidR="00E9379B">
        <w:t xml:space="preserve">were coded </w:t>
      </w:r>
      <w:r w:rsidR="001371BF">
        <w:t xml:space="preserve">to range </w:t>
      </w:r>
      <w:r w:rsidR="00E9379B">
        <w:t xml:space="preserve">from 0 to 1, with higher values respectively indicating higher </w:t>
      </w:r>
      <w:r w:rsidR="00DF00FA">
        <w:t>levels</w:t>
      </w:r>
      <w:r w:rsidR="00E9379B">
        <w:t xml:space="preserve"> of </w:t>
      </w:r>
      <w:r w:rsidR="00DF00FA">
        <w:t>symbolic racism</w:t>
      </w:r>
      <w:r w:rsidR="00187EDE">
        <w:t>,</w:t>
      </w:r>
      <w:r w:rsidR="00E9379B">
        <w:t xml:space="preserve"> </w:t>
      </w:r>
      <w:r w:rsidR="001371BF">
        <w:t>support for limited government</w:t>
      </w:r>
      <w:r w:rsidR="00187EDE">
        <w:t>, and Republican partisanship</w:t>
      </w:r>
      <w:r w:rsidR="00E9379B">
        <w:t xml:space="preserve">. </w:t>
      </w:r>
      <w:r w:rsidR="004166A0">
        <w:t>Linear r</w:t>
      </w:r>
      <w:r w:rsidR="00E9379B">
        <w:t>egres</w:t>
      </w:r>
      <w:r w:rsidR="004166A0">
        <w:t>sions were weighted, with</w:t>
      </w:r>
      <w:r w:rsidR="00E9379B">
        <w:t xml:space="preserve"> cases dropped only if the case had missing da</w:t>
      </w:r>
      <w:r w:rsidR="004166A0">
        <w:t>ta for</w:t>
      </w:r>
      <w:r w:rsidR="00E9379B">
        <w:t xml:space="preserve"> at least one</w:t>
      </w:r>
      <w:r w:rsidR="00581B28">
        <w:t xml:space="preserve"> model</w:t>
      </w:r>
      <w:r w:rsidR="00E9379B">
        <w:t xml:space="preserve"> variable. </w:t>
      </w:r>
    </w:p>
    <w:p w:rsidR="00793FC9" w:rsidRDefault="00793FC9">
      <w:pPr>
        <w:rPr>
          <w:b/>
        </w:rPr>
      </w:pPr>
      <w:r>
        <w:rPr>
          <w:b/>
        </w:rPr>
        <w:br w:type="page"/>
      </w:r>
    </w:p>
    <w:p w:rsidR="00E9379B" w:rsidRPr="003639D6" w:rsidRDefault="003639D6" w:rsidP="00FE3B35">
      <w:pPr>
        <w:spacing w:line="480" w:lineRule="auto"/>
        <w:rPr>
          <w:b/>
        </w:rPr>
      </w:pPr>
      <w:r w:rsidRPr="003639D6">
        <w:rPr>
          <w:b/>
        </w:rPr>
        <w:lastRenderedPageBreak/>
        <w:t>Results</w:t>
      </w:r>
    </w:p>
    <w:p w:rsidR="003639D6" w:rsidRDefault="003639D6" w:rsidP="00FE3B35">
      <w:pPr>
        <w:spacing w:line="480" w:lineRule="auto"/>
      </w:pPr>
      <w:r>
        <w:t xml:space="preserve">Model 1 </w:t>
      </w:r>
      <w:r w:rsidR="002F5F5A">
        <w:t xml:space="preserve">in Table 1 </w:t>
      </w:r>
      <w:r w:rsidR="00AA5209">
        <w:t>estimated</w:t>
      </w:r>
      <w:r>
        <w:t xml:space="preserve"> responses to th</w:t>
      </w:r>
      <w:r w:rsidR="00184452">
        <w:t>e item measuring disapproval of</w:t>
      </w:r>
      <w:r>
        <w:t xml:space="preserve"> the way </w:t>
      </w:r>
      <w:r w:rsidR="00E72836">
        <w:t xml:space="preserve">that </w:t>
      </w:r>
      <w:r>
        <w:t>Barack Obama is handling health care; the only stati</w:t>
      </w:r>
      <w:r w:rsidR="00EE5FEB">
        <w:t xml:space="preserve">stically significant </w:t>
      </w:r>
      <w:r w:rsidR="00AA5209">
        <w:t xml:space="preserve">coefficients </w:t>
      </w:r>
      <w:r w:rsidR="00EE5FEB">
        <w:t>we</w:t>
      </w:r>
      <w:r>
        <w:t xml:space="preserve">re </w:t>
      </w:r>
      <w:r w:rsidR="00AA5209">
        <w:t xml:space="preserve">for </w:t>
      </w:r>
      <w:r w:rsidR="00EE5FEB">
        <w:t>symbolic racism</w:t>
      </w:r>
      <w:r>
        <w:t xml:space="preserve">, the fear condition, the interaction of fear and </w:t>
      </w:r>
      <w:r w:rsidR="007A4BE7">
        <w:t>symbolic racism</w:t>
      </w:r>
      <w:r w:rsidR="00187EDE">
        <w:t>, and the constant</w:t>
      </w:r>
      <w:r>
        <w:t>. Model 2</w:t>
      </w:r>
      <w:r w:rsidR="00AA5209">
        <w:t xml:space="preserve"> estimated </w:t>
      </w:r>
      <w:r>
        <w:t>responses to the item measuring opposition to Barack Obama and the Democrats'</w:t>
      </w:r>
      <w:r w:rsidRPr="00AA0D9F">
        <w:t xml:space="preserve"> </w:t>
      </w:r>
      <w:r w:rsidR="00187EDE" w:rsidRPr="00AA0D9F">
        <w:t xml:space="preserve">health care </w:t>
      </w:r>
      <w:r w:rsidRPr="00AA0D9F">
        <w:t>reform bill</w:t>
      </w:r>
      <w:r>
        <w:t>: the only stati</w:t>
      </w:r>
      <w:r w:rsidR="007A4BE7">
        <w:t xml:space="preserve">stically significant </w:t>
      </w:r>
      <w:r w:rsidR="00AA5209">
        <w:t xml:space="preserve">coefficients were for </w:t>
      </w:r>
      <w:r w:rsidR="007A4BE7">
        <w:t>symbolic racism</w:t>
      </w:r>
      <w:r>
        <w:t xml:space="preserve">, the fear condition, the interaction of fear and </w:t>
      </w:r>
      <w:r w:rsidR="007A4BE7">
        <w:t>symbolic racism</w:t>
      </w:r>
      <w:r w:rsidR="00187EDE">
        <w:t>, and the constant</w:t>
      </w:r>
      <w:r>
        <w:t>. Model 3</w:t>
      </w:r>
      <w:r w:rsidR="00AA5209">
        <w:t xml:space="preserve"> estimated </w:t>
      </w:r>
      <w:r w:rsidR="00187EDE">
        <w:t xml:space="preserve">the scale of </w:t>
      </w:r>
      <w:r w:rsidR="0099156B">
        <w:t>ne</w:t>
      </w:r>
      <w:r w:rsidR="00E72836">
        <w:t>gative v</w:t>
      </w:r>
      <w:r w:rsidR="00184452">
        <w:t>iews</w:t>
      </w:r>
      <w:r w:rsidR="00E72836">
        <w:t xml:space="preserve"> </w:t>
      </w:r>
      <w:r w:rsidR="005624CF">
        <w:t xml:space="preserve">of </w:t>
      </w:r>
      <w:r w:rsidR="005624CF" w:rsidRPr="005624CF">
        <w:t>Barack Obama and the Democrats' health care reform</w:t>
      </w:r>
      <w:r>
        <w:t xml:space="preserve">; again, the only statistically significant </w:t>
      </w:r>
      <w:r w:rsidR="00AA5209">
        <w:t xml:space="preserve">coefficients were for </w:t>
      </w:r>
      <w:r w:rsidR="007A4BE7">
        <w:t>symbolic racism</w:t>
      </w:r>
      <w:r>
        <w:t xml:space="preserve">, the fear condition, the interaction of fear and </w:t>
      </w:r>
      <w:r w:rsidR="007A4BE7">
        <w:t>symbolic racism</w:t>
      </w:r>
      <w:r w:rsidR="00187EDE">
        <w:t>, and the constant.</w:t>
      </w:r>
    </w:p>
    <w:p w:rsidR="007A4BE7" w:rsidRDefault="00506C65" w:rsidP="00FE3B35">
      <w:pPr>
        <w:spacing w:line="480" w:lineRule="auto"/>
        <w:jc w:val="center"/>
      </w:pPr>
      <w:r>
        <w:t>[Table 1 about here]</w:t>
      </w:r>
    </w:p>
    <w:p w:rsidR="007A4BE7" w:rsidRDefault="00C501A6" w:rsidP="00FE3B35">
      <w:pPr>
        <w:spacing w:line="480" w:lineRule="auto"/>
        <w:ind w:firstLine="720"/>
      </w:pPr>
      <w:r>
        <w:t xml:space="preserve">Given variable </w:t>
      </w:r>
      <w:proofErr w:type="spellStart"/>
      <w:r>
        <w:t>codings</w:t>
      </w:r>
      <w:proofErr w:type="spellEnd"/>
      <w:r>
        <w:t>,</w:t>
      </w:r>
      <w:r w:rsidR="008D19E6">
        <w:t xml:space="preserve"> the 2.06 coefficient on </w:t>
      </w:r>
      <w:r w:rsidR="007A4BE7">
        <w:t>symbolic racism</w:t>
      </w:r>
      <w:r w:rsidR="008D19E6">
        <w:t xml:space="preserve"> </w:t>
      </w:r>
      <w:r>
        <w:t xml:space="preserve">in </w:t>
      </w:r>
      <w:r w:rsidR="0024407E">
        <w:t xml:space="preserve">Model </w:t>
      </w:r>
      <w:r>
        <w:t xml:space="preserve">3 </w:t>
      </w:r>
      <w:r w:rsidR="008D19E6">
        <w:t xml:space="preserve">indicates that, for persons in the omitted relaxed condition, a change from the lowest level </w:t>
      </w:r>
      <w:r w:rsidR="000B57FA">
        <w:t xml:space="preserve">of symbolic racism </w:t>
      </w:r>
      <w:r w:rsidR="008D19E6">
        <w:t>to the highest level</w:t>
      </w:r>
      <w:r w:rsidR="000B57FA">
        <w:t xml:space="preserve"> of symbolic racism</w:t>
      </w:r>
      <w:r w:rsidR="008D19E6">
        <w:t xml:space="preserve"> was </w:t>
      </w:r>
      <w:r w:rsidR="007A4BE7">
        <w:t xml:space="preserve">estimated </w:t>
      </w:r>
      <w:r w:rsidR="008D19E6">
        <w:t xml:space="preserve">to correlate with a 2.06 standard deviation increase in negative views of </w:t>
      </w:r>
      <w:r w:rsidR="00A62E2A" w:rsidRPr="00A62E2A">
        <w:t>Barack Obama and th</w:t>
      </w:r>
      <w:r w:rsidR="00A62E2A">
        <w:t>e Democrats' health care reform</w:t>
      </w:r>
      <w:r w:rsidR="008D19E6">
        <w:t>. The -0.73 coefficient on the f</w:t>
      </w:r>
      <w:r>
        <w:t>ear condition variable indicates</w:t>
      </w:r>
      <w:r w:rsidR="008D19E6">
        <w:t xml:space="preserve"> that, compared to persons in the relaxed condition with the lowest</w:t>
      </w:r>
      <w:r w:rsidR="00184452">
        <w:t xml:space="preserve"> </w:t>
      </w:r>
      <w:r w:rsidR="008D19E6">
        <w:t xml:space="preserve">level of </w:t>
      </w:r>
      <w:r w:rsidR="007A4BE7">
        <w:t>symbolic racism</w:t>
      </w:r>
      <w:r w:rsidR="008D19E6">
        <w:t xml:space="preserve">, persons in the fear condition with the lowest level of </w:t>
      </w:r>
      <w:r w:rsidR="007A4BE7">
        <w:t>symbolic racism</w:t>
      </w:r>
      <w:r w:rsidR="008D19E6">
        <w:t xml:space="preserve"> had more </w:t>
      </w:r>
      <w:r w:rsidR="00A62E2A">
        <w:t>positive</w:t>
      </w:r>
      <w:r w:rsidR="008D19E6">
        <w:t xml:space="preserve"> views </w:t>
      </w:r>
      <w:r w:rsidR="00A62E2A" w:rsidRPr="00A62E2A">
        <w:t>of Barack Obama and the Democrats' health care reform</w:t>
      </w:r>
      <w:r w:rsidR="000B57FA">
        <w:t xml:space="preserve">, by 0.73 standard deviations. The 0.97 coefficient on the SR x Fear </w:t>
      </w:r>
      <w:r w:rsidR="008D19E6">
        <w:t>interaction term indicated that</w:t>
      </w:r>
      <w:r w:rsidR="000B57FA">
        <w:t xml:space="preserve"> the full effect of symbolic racism in the fear condition was 0.97 standard deviations higher than </w:t>
      </w:r>
      <w:r w:rsidR="008D19E6">
        <w:t xml:space="preserve">the </w:t>
      </w:r>
      <w:r w:rsidR="000B57FA">
        <w:t xml:space="preserve">full </w:t>
      </w:r>
      <w:r w:rsidR="008D19E6">
        <w:t xml:space="preserve">effect </w:t>
      </w:r>
      <w:r w:rsidR="00184452">
        <w:t>o</w:t>
      </w:r>
      <w:r w:rsidR="008D19E6">
        <w:t xml:space="preserve">f </w:t>
      </w:r>
      <w:r w:rsidR="007A4BE7">
        <w:t xml:space="preserve">symbolic racism </w:t>
      </w:r>
      <w:r w:rsidR="008D19E6">
        <w:t>in the re</w:t>
      </w:r>
      <w:r w:rsidR="000B57FA">
        <w:t>laxed condition.</w:t>
      </w:r>
    </w:p>
    <w:p w:rsidR="008D19E6" w:rsidRDefault="00C72CA9" w:rsidP="00FE3B35">
      <w:pPr>
        <w:spacing w:line="480" w:lineRule="auto"/>
        <w:ind w:firstLine="720"/>
      </w:pPr>
      <w:r>
        <w:lastRenderedPageBreak/>
        <w:t xml:space="preserve">The top row of </w:t>
      </w:r>
      <w:r w:rsidR="008D19E6">
        <w:t xml:space="preserve">Figure 1 plots </w:t>
      </w:r>
      <w:r w:rsidR="00BE24A3">
        <w:t xml:space="preserve">estimates for </w:t>
      </w:r>
      <w:r w:rsidR="0024407E">
        <w:t xml:space="preserve">Model </w:t>
      </w:r>
      <w:r w:rsidR="00A62E2A">
        <w:t>3</w:t>
      </w:r>
      <w:r w:rsidR="008D19E6">
        <w:t>.</w:t>
      </w:r>
      <w:r w:rsidR="000D1606">
        <w:t xml:space="preserve"> The </w:t>
      </w:r>
      <w:r w:rsidR="00BE24A3">
        <w:t xml:space="preserve">black </w:t>
      </w:r>
      <w:r w:rsidR="000D1606">
        <w:t xml:space="preserve">dashed line in each graph indicates the influence of symbolic racism in the relaxed condition: the steep slope of the relaxed line in </w:t>
      </w:r>
      <w:r w:rsidR="00BE24A3">
        <w:t xml:space="preserve">each </w:t>
      </w:r>
      <w:r w:rsidR="000D1606">
        <w:t>graph indicates that symbolic racism is a strong predictor of negative views</w:t>
      </w:r>
      <w:r w:rsidR="00E72836">
        <w:t xml:space="preserve"> </w:t>
      </w:r>
      <w:r w:rsidR="00BE24A3" w:rsidRPr="00BE24A3">
        <w:t>of Barack Obama and the Democrats' health care reform</w:t>
      </w:r>
      <w:r w:rsidR="00184452">
        <w:t xml:space="preserve"> in the relaxed condition</w:t>
      </w:r>
      <w:r w:rsidR="000D1606">
        <w:t xml:space="preserve">. The slightly less steep green line </w:t>
      </w:r>
      <w:r w:rsidR="00050C4E">
        <w:t xml:space="preserve">in the top </w:t>
      </w:r>
      <w:r w:rsidR="00EB654E">
        <w:t>right</w:t>
      </w:r>
      <w:r w:rsidR="00050C4E">
        <w:t xml:space="preserve"> box </w:t>
      </w:r>
      <w:r w:rsidR="000D1606">
        <w:t xml:space="preserve">indicates that the </w:t>
      </w:r>
      <w:r w:rsidR="00184452">
        <w:t xml:space="preserve">observed </w:t>
      </w:r>
      <w:r w:rsidR="000D1606">
        <w:t>influence of symbolic racism was slightly l</w:t>
      </w:r>
      <w:r w:rsidR="00E72836">
        <w:t>es</w:t>
      </w:r>
      <w:r w:rsidR="00BE24A3">
        <w:t xml:space="preserve">s strong </w:t>
      </w:r>
      <w:r w:rsidR="000D1606">
        <w:t>in the enthusiasm condition compared to the relaxed condition; the steep</w:t>
      </w:r>
      <w:r w:rsidR="00E72836">
        <w:t>er</w:t>
      </w:r>
      <w:r w:rsidR="000D1606">
        <w:t xml:space="preserve"> red and blue lines </w:t>
      </w:r>
      <w:r w:rsidR="00050C4E">
        <w:t xml:space="preserve">in the </w:t>
      </w:r>
      <w:r w:rsidR="00EB654E">
        <w:t xml:space="preserve">top left and top </w:t>
      </w:r>
      <w:r w:rsidR="00050C4E">
        <w:t xml:space="preserve">middle boxes </w:t>
      </w:r>
      <w:r w:rsidR="000D1606">
        <w:t xml:space="preserve">respectively indicate that the </w:t>
      </w:r>
      <w:r w:rsidR="00184452">
        <w:t xml:space="preserve">observed </w:t>
      </w:r>
      <w:r w:rsidR="000D1606">
        <w:t xml:space="preserve">influence of symbolic racism was </w:t>
      </w:r>
      <w:r w:rsidR="00BE24A3">
        <w:t>stronger</w:t>
      </w:r>
      <w:r w:rsidR="000D1606">
        <w:t xml:space="preserve"> in the anger and fear conditions compared to the relaxed condition.</w:t>
      </w:r>
      <w:r w:rsidR="00E72B78">
        <w:t xml:space="preserve"> The difference in the slopes between the fear and anger condition was not statistically significant in </w:t>
      </w:r>
      <w:r w:rsidR="0024407E">
        <w:t xml:space="preserve">Model </w:t>
      </w:r>
      <w:r w:rsidR="00EB654E">
        <w:t xml:space="preserve">1, 2, or 3 </w:t>
      </w:r>
      <w:r w:rsidR="00E72B78">
        <w:t>(respective p-values of 0.146, 0.378, and 0.241).</w:t>
      </w:r>
      <w:r w:rsidR="0005424A">
        <w:rPr>
          <w:rStyle w:val="FootnoteReference"/>
        </w:rPr>
        <w:footnoteReference w:id="1"/>
      </w:r>
    </w:p>
    <w:p w:rsidR="00506C65" w:rsidRDefault="00506C65" w:rsidP="00FE3B35">
      <w:pPr>
        <w:spacing w:line="480" w:lineRule="auto"/>
        <w:jc w:val="center"/>
      </w:pPr>
      <w:r>
        <w:t>[Figure 1 about here]</w:t>
      </w:r>
    </w:p>
    <w:p w:rsidR="000F42DA" w:rsidRPr="000F42DA" w:rsidRDefault="00F106FA" w:rsidP="00FE3B35">
      <w:pPr>
        <w:spacing w:line="480" w:lineRule="auto"/>
        <w:ind w:firstLine="720"/>
      </w:pPr>
      <w:r>
        <w:t>Symbolic racism</w:t>
      </w:r>
      <w:r w:rsidR="00065AF3" w:rsidRPr="00065AF3">
        <w:t xml:space="preserve"> taps racial attitudes and conservativism (Sears and Henry 2003: 271)</w:t>
      </w:r>
      <w:r w:rsidR="00065AF3">
        <w:t xml:space="preserve">, so it is possible that results in </w:t>
      </w:r>
      <w:r w:rsidR="0024407E">
        <w:t xml:space="preserve">Models </w:t>
      </w:r>
      <w:r w:rsidR="00065AF3">
        <w:t xml:space="preserve">1, 2, and 3 reflect the influence of conservatism instead of the influence of racial attitudes. To address this possibility, </w:t>
      </w:r>
      <w:r w:rsidR="0024407E">
        <w:t xml:space="preserve">Models </w:t>
      </w:r>
      <w:r w:rsidR="00184452">
        <w:t xml:space="preserve">4, 5, and 6 in </w:t>
      </w:r>
      <w:r w:rsidR="003725AB">
        <w:t>T</w:t>
      </w:r>
      <w:r w:rsidR="00581B28">
        <w:t xml:space="preserve">able 2 </w:t>
      </w:r>
      <w:r w:rsidR="00A15DD0">
        <w:t xml:space="preserve">correspond to </w:t>
      </w:r>
      <w:r w:rsidR="0024407E">
        <w:t xml:space="preserve">Models </w:t>
      </w:r>
      <w:r w:rsidR="00A15DD0">
        <w:t xml:space="preserve">1, 2, </w:t>
      </w:r>
      <w:r w:rsidR="00581B28">
        <w:t>and 3</w:t>
      </w:r>
      <w:r w:rsidR="00184452" w:rsidRPr="00184452">
        <w:t xml:space="preserve"> </w:t>
      </w:r>
      <w:r w:rsidR="00184452">
        <w:t>in Table 1</w:t>
      </w:r>
      <w:r w:rsidR="00D27CA9">
        <w:t xml:space="preserve">, </w:t>
      </w:r>
      <w:r w:rsidR="00A15DD0">
        <w:t xml:space="preserve">but </w:t>
      </w:r>
      <w:r w:rsidR="00D27CA9">
        <w:t xml:space="preserve">with </w:t>
      </w:r>
      <w:r w:rsidR="000F42DA">
        <w:t>support for limited government</w:t>
      </w:r>
      <w:r w:rsidR="00D27CA9">
        <w:t xml:space="preserve"> replacing </w:t>
      </w:r>
      <w:r w:rsidR="000D1606">
        <w:t>symbolic racism</w:t>
      </w:r>
      <w:r w:rsidR="000F42DA">
        <w:t xml:space="preserve"> as a predictor</w:t>
      </w:r>
      <w:r w:rsidR="00150EE0">
        <w:t xml:space="preserve"> (see Banks 2014: 505).</w:t>
      </w:r>
      <w:r w:rsidR="000D1606">
        <w:t xml:space="preserve"> </w:t>
      </w:r>
      <w:r w:rsidR="000F42DA">
        <w:t>None of the emotion</w:t>
      </w:r>
      <w:r w:rsidR="00184452">
        <w:t xml:space="preserve">al </w:t>
      </w:r>
      <w:proofErr w:type="gramStart"/>
      <w:r w:rsidR="00184452">
        <w:t>primes</w:t>
      </w:r>
      <w:proofErr w:type="gramEnd"/>
      <w:r w:rsidR="000F42DA">
        <w:t xml:space="preserve"> </w:t>
      </w:r>
      <w:r w:rsidR="000F42DA">
        <w:rPr>
          <w:rFonts w:ascii="Symbol" w:hAnsi="Symbol"/>
        </w:rPr>
        <w:t></w:t>
      </w:r>
      <w:r w:rsidR="000F42DA">
        <w:t xml:space="preserve"> anger, fear, or enthusiasm </w:t>
      </w:r>
      <w:r w:rsidR="000F42DA">
        <w:rPr>
          <w:rFonts w:ascii="Symbol" w:hAnsi="Symbol"/>
        </w:rPr>
        <w:t></w:t>
      </w:r>
      <w:r w:rsidR="000F42DA">
        <w:t xml:space="preserve"> had a different effect on </w:t>
      </w:r>
      <w:r w:rsidR="00E72836">
        <w:t xml:space="preserve">the influence of </w:t>
      </w:r>
      <w:r>
        <w:t>symbolic racism</w:t>
      </w:r>
      <w:r w:rsidR="000F42DA">
        <w:t xml:space="preserve"> than the relaxed </w:t>
      </w:r>
      <w:r w:rsidR="00184452">
        <w:t>prime</w:t>
      </w:r>
      <w:r w:rsidR="000F42DA">
        <w:t xml:space="preserve"> did, in terms of influencing </w:t>
      </w:r>
      <w:r w:rsidR="00BE24A3">
        <w:t>responses to the dependent variables</w:t>
      </w:r>
      <w:r w:rsidR="000F42DA">
        <w:t xml:space="preserve">. Model 6 results are plotted in the </w:t>
      </w:r>
      <w:r w:rsidR="00184452">
        <w:t>middle</w:t>
      </w:r>
      <w:r w:rsidR="000F42DA">
        <w:t xml:space="preserve"> r</w:t>
      </w:r>
      <w:r w:rsidR="00E72836">
        <w:t xml:space="preserve">ow of Figure 1, illustrating </w:t>
      </w:r>
      <w:r w:rsidR="00E72836">
        <w:lastRenderedPageBreak/>
        <w:t>this</w:t>
      </w:r>
      <w:r w:rsidR="000F42DA">
        <w:t xml:space="preserve"> lack of a difference</w:t>
      </w:r>
      <w:r w:rsidR="00E72836">
        <w:t xml:space="preserve"> in the effect of </w:t>
      </w:r>
      <w:r w:rsidR="00C501A6">
        <w:t>the three emotion</w:t>
      </w:r>
      <w:r w:rsidR="00EB654E">
        <w:t>al primes</w:t>
      </w:r>
      <w:r w:rsidR="00C501A6">
        <w:t xml:space="preserve"> on </w:t>
      </w:r>
      <w:r w:rsidR="00E72836">
        <w:t>limited government</w:t>
      </w:r>
      <w:r w:rsidR="00C501A6">
        <w:t xml:space="preserve">, relative to the relaxed </w:t>
      </w:r>
      <w:r w:rsidR="00EB654E">
        <w:t>prime</w:t>
      </w:r>
      <w:r w:rsidR="00C501A6">
        <w:t>.</w:t>
      </w:r>
      <w:r w:rsidR="00065AF3">
        <w:t xml:space="preserve"> </w:t>
      </w:r>
    </w:p>
    <w:p w:rsidR="00506C65" w:rsidRDefault="00506C65" w:rsidP="00FE3B35">
      <w:pPr>
        <w:spacing w:line="480" w:lineRule="auto"/>
        <w:jc w:val="center"/>
      </w:pPr>
      <w:r>
        <w:t>[Table 2 about here]</w:t>
      </w:r>
    </w:p>
    <w:p w:rsidR="003845B2" w:rsidRDefault="00150EE0" w:rsidP="00FE3B35">
      <w:pPr>
        <w:spacing w:line="480" w:lineRule="auto"/>
        <w:ind w:firstLine="720"/>
      </w:pPr>
      <w:r>
        <w:t xml:space="preserve">Results for the limited government models suggest that the </w:t>
      </w:r>
      <w:r w:rsidR="00F106FA">
        <w:t>symbolic racism</w:t>
      </w:r>
      <w:r>
        <w:t xml:space="preserve"> variable </w:t>
      </w:r>
      <w:r w:rsidR="00EB654E">
        <w:t xml:space="preserve">in this experiment might </w:t>
      </w:r>
      <w:r>
        <w:t>refl</w:t>
      </w:r>
      <w:r w:rsidR="00EB654E">
        <w:t>ect</w:t>
      </w:r>
      <w:r>
        <w:t xml:space="preserve"> racial attitudes and not support for limited government</w:t>
      </w:r>
      <w:r w:rsidR="003845B2">
        <w:t xml:space="preserve">, but results for </w:t>
      </w:r>
      <w:r w:rsidR="0024407E">
        <w:t xml:space="preserve">Models </w:t>
      </w:r>
      <w:r w:rsidR="003845B2">
        <w:t>7, 8, and 9</w:t>
      </w:r>
      <w:r w:rsidR="00F106FA">
        <w:t xml:space="preserve"> in Table 3</w:t>
      </w:r>
      <w:r w:rsidR="003845B2">
        <w:t xml:space="preserve"> suggest that the </w:t>
      </w:r>
      <w:r w:rsidR="00F106FA">
        <w:t xml:space="preserve">symbolic racism </w:t>
      </w:r>
      <w:r w:rsidR="003845B2">
        <w:t xml:space="preserve">variable </w:t>
      </w:r>
      <w:r w:rsidR="00EB654E">
        <w:t xml:space="preserve">in this experiment </w:t>
      </w:r>
      <w:r w:rsidR="003845B2">
        <w:t xml:space="preserve">might </w:t>
      </w:r>
      <w:r w:rsidR="00184452">
        <w:t xml:space="preserve">nonetheless </w:t>
      </w:r>
      <w:r w:rsidR="003845B2">
        <w:t xml:space="preserve">largely reflect non-racial attitudes. These models replace </w:t>
      </w:r>
      <w:r w:rsidR="00F106FA">
        <w:t xml:space="preserve">symbolic racism </w:t>
      </w:r>
      <w:r w:rsidR="003845B2">
        <w:t xml:space="preserve">with a seven-point </w:t>
      </w:r>
      <w:r w:rsidR="00184452">
        <w:t xml:space="preserve">self-reported </w:t>
      </w:r>
      <w:r w:rsidR="003845B2">
        <w:t xml:space="preserve">partisanship scale coded from strong Democrat (0) to strong Republican (1). Patterns of results for partisanship </w:t>
      </w:r>
      <w:r w:rsidR="00184452">
        <w:t xml:space="preserve">displayed in the bottom row of Figure 1 </w:t>
      </w:r>
      <w:r w:rsidR="003845B2">
        <w:t xml:space="preserve">generally match results for </w:t>
      </w:r>
      <w:r w:rsidR="00F106FA">
        <w:t xml:space="preserve">symbolic racism </w:t>
      </w:r>
      <w:r w:rsidR="003845B2">
        <w:t xml:space="preserve">in </w:t>
      </w:r>
      <w:r w:rsidR="0024407E">
        <w:t xml:space="preserve">Models </w:t>
      </w:r>
      <w:r w:rsidR="003845B2">
        <w:t xml:space="preserve">1, 2, and 3, but with smaller effect sizes for partisanship than for </w:t>
      </w:r>
      <w:r w:rsidR="00F106FA">
        <w:t>symbolic racism</w:t>
      </w:r>
      <w:r w:rsidR="003845B2">
        <w:t xml:space="preserve">. These results suggest that much of the effect of </w:t>
      </w:r>
      <w:r w:rsidR="00F106FA">
        <w:t xml:space="preserve">symbolic racism </w:t>
      </w:r>
      <w:r w:rsidR="00EB654E">
        <w:t xml:space="preserve">in this experiment </w:t>
      </w:r>
      <w:r w:rsidR="00F106FA">
        <w:t>might be due to partisanship</w:t>
      </w:r>
      <w:r w:rsidR="003845B2">
        <w:t xml:space="preserve"> and not racial attitudes per se. The difference in slopes between the fear and anger condition was not statistically significant in </w:t>
      </w:r>
      <w:r w:rsidR="0024407E">
        <w:t xml:space="preserve">Model </w:t>
      </w:r>
      <w:r w:rsidR="003845B2">
        <w:t xml:space="preserve">7 but was statistically significant in </w:t>
      </w:r>
      <w:r w:rsidR="0024407E">
        <w:t xml:space="preserve">Models </w:t>
      </w:r>
      <w:r w:rsidR="003845B2">
        <w:t>8 and 9 (respective p-values of 0.127, 0.025, and 0.047).</w:t>
      </w:r>
    </w:p>
    <w:p w:rsidR="00506C65" w:rsidRDefault="00506C65" w:rsidP="00FE3B35">
      <w:pPr>
        <w:spacing w:line="480" w:lineRule="auto"/>
        <w:jc w:val="center"/>
      </w:pPr>
      <w:r>
        <w:t>[Table 3 about here]</w:t>
      </w:r>
    </w:p>
    <w:p w:rsidR="00506C65" w:rsidRDefault="00506C65" w:rsidP="00FE3B35">
      <w:pPr>
        <w:spacing w:line="480" w:lineRule="auto"/>
        <w:rPr>
          <w:b/>
        </w:rPr>
      </w:pPr>
    </w:p>
    <w:p w:rsidR="00D27CA9" w:rsidRPr="00D27CA9" w:rsidRDefault="00506C65" w:rsidP="00FE3B35">
      <w:pPr>
        <w:spacing w:line="480" w:lineRule="auto"/>
        <w:rPr>
          <w:b/>
        </w:rPr>
      </w:pPr>
      <w:r>
        <w:rPr>
          <w:b/>
        </w:rPr>
        <w:t>C</w:t>
      </w:r>
      <w:r w:rsidR="00D27CA9" w:rsidRPr="00D27CA9">
        <w:rPr>
          <w:b/>
        </w:rPr>
        <w:t>omparison with Banks (2014)</w:t>
      </w:r>
    </w:p>
    <w:p w:rsidR="00BE24A3" w:rsidRDefault="00F106FA" w:rsidP="00FE3B35">
      <w:pPr>
        <w:spacing w:line="480" w:lineRule="auto"/>
      </w:pPr>
      <w:r>
        <w:t xml:space="preserve">Inferences from </w:t>
      </w:r>
      <w:r w:rsidR="0024407E">
        <w:t xml:space="preserve">Models </w:t>
      </w:r>
      <w:r>
        <w:t xml:space="preserve">1, 2, and 3 </w:t>
      </w:r>
      <w:r w:rsidR="00D27CA9">
        <w:t xml:space="preserve">conflict with </w:t>
      </w:r>
      <w:r w:rsidR="00E869CD">
        <w:t xml:space="preserve">results </w:t>
      </w:r>
      <w:r w:rsidR="00581B28">
        <w:t>from</w:t>
      </w:r>
      <w:r w:rsidR="00E869CD">
        <w:t xml:space="preserve"> Banks (2014)</w:t>
      </w:r>
      <w:r w:rsidR="000D1606">
        <w:t xml:space="preserve"> </w:t>
      </w:r>
      <w:r w:rsidR="00334265">
        <w:t>suggesting that</w:t>
      </w:r>
      <w:r w:rsidR="00E869CD">
        <w:t xml:space="preserve"> an</w:t>
      </w:r>
      <w:r w:rsidR="00BB5F24">
        <w:t xml:space="preserve">ger </w:t>
      </w:r>
      <w:r w:rsidR="00BB5F24">
        <w:rPr>
          <w:rFonts w:ascii="Symbol" w:hAnsi="Symbol"/>
        </w:rPr>
        <w:t></w:t>
      </w:r>
      <w:r w:rsidR="00BB5F24">
        <w:t xml:space="preserve"> not fear </w:t>
      </w:r>
      <w:r w:rsidR="00BB5F24">
        <w:rPr>
          <w:rFonts w:ascii="Symbol" w:hAnsi="Symbol"/>
        </w:rPr>
        <w:t></w:t>
      </w:r>
      <w:r w:rsidR="00BB5F24">
        <w:rPr>
          <w:rFonts w:ascii="Symbol" w:hAnsi="Symbol"/>
        </w:rPr>
        <w:t></w:t>
      </w:r>
      <w:r w:rsidR="00334265">
        <w:t>wa</w:t>
      </w:r>
      <w:r w:rsidR="00E869CD">
        <w:t xml:space="preserve">s the </w:t>
      </w:r>
      <w:r w:rsidR="00164A76">
        <w:t xml:space="preserve">stronger </w:t>
      </w:r>
      <w:r w:rsidR="00BB5F24">
        <w:t xml:space="preserve">emotional influence of symbolic racism's </w:t>
      </w:r>
      <w:r w:rsidR="00E869CD">
        <w:t xml:space="preserve">effect </w:t>
      </w:r>
      <w:r w:rsidR="00BB5F24">
        <w:t>on</w:t>
      </w:r>
      <w:r w:rsidR="00E869CD">
        <w:t xml:space="preserve"> negative views of Barack Obama</w:t>
      </w:r>
      <w:r w:rsidR="00C501A6">
        <w:t xml:space="preserve"> and the Democrat</w:t>
      </w:r>
      <w:r w:rsidR="00BE24A3">
        <w:t>s</w:t>
      </w:r>
      <w:r w:rsidR="00E869CD">
        <w:t xml:space="preserve">' health care reform bill. </w:t>
      </w:r>
      <w:r w:rsidR="00BE24A3">
        <w:t xml:space="preserve">With the help of Dr. Banks, I was able </w:t>
      </w:r>
      <w:r w:rsidR="00334265">
        <w:t xml:space="preserve">to almost exactly reproduce </w:t>
      </w:r>
      <w:r w:rsidR="00BE24A3">
        <w:t xml:space="preserve">results reported in the first numeric column of </w:t>
      </w:r>
      <w:r w:rsidR="00F900BB">
        <w:t>Table 2</w:t>
      </w:r>
      <w:r w:rsidR="0000120B">
        <w:t xml:space="preserve"> </w:t>
      </w:r>
      <w:r w:rsidR="00F900BB">
        <w:t>in Banks (2014)</w:t>
      </w:r>
      <w:r w:rsidR="00BE24A3">
        <w:t xml:space="preserve">, presented in </w:t>
      </w:r>
      <w:r w:rsidR="0024407E">
        <w:t xml:space="preserve">Model </w:t>
      </w:r>
      <w:r>
        <w:t>10</w:t>
      </w:r>
      <w:r w:rsidR="00BE24A3">
        <w:t xml:space="preserve"> of </w:t>
      </w:r>
      <w:r>
        <w:t>Table 4</w:t>
      </w:r>
      <w:r w:rsidR="00334265">
        <w:t xml:space="preserve"> here</w:t>
      </w:r>
      <w:r w:rsidR="00BE24A3">
        <w:t>.</w:t>
      </w:r>
      <w:r w:rsidR="00D477B2">
        <w:t xml:space="preserve"> </w:t>
      </w:r>
    </w:p>
    <w:p w:rsidR="00506C65" w:rsidRDefault="00506C65" w:rsidP="00FE3B35">
      <w:pPr>
        <w:spacing w:line="480" w:lineRule="auto"/>
        <w:jc w:val="center"/>
      </w:pPr>
      <w:r>
        <w:lastRenderedPageBreak/>
        <w:t>[Table 4 about here]</w:t>
      </w:r>
    </w:p>
    <w:p w:rsidR="00BE24A3" w:rsidRDefault="00F106FA" w:rsidP="00FE3B35">
      <w:pPr>
        <w:spacing w:line="480" w:lineRule="auto"/>
        <w:ind w:firstLine="360"/>
      </w:pPr>
      <w:r>
        <w:t>Model 10</w:t>
      </w:r>
      <w:r w:rsidR="00D477B2">
        <w:t xml:space="preserve"> results indicate that anger </w:t>
      </w:r>
      <w:r w:rsidR="00D477B2">
        <w:rPr>
          <w:rFonts w:ascii="Symbol" w:hAnsi="Symbol"/>
        </w:rPr>
        <w:t></w:t>
      </w:r>
      <w:r w:rsidR="00D477B2">
        <w:t xml:space="preserve"> but not fear </w:t>
      </w:r>
      <w:r w:rsidR="00D477B2">
        <w:rPr>
          <w:rFonts w:ascii="Symbol" w:hAnsi="Symbol"/>
        </w:rPr>
        <w:t></w:t>
      </w:r>
      <w:r w:rsidR="00D477B2">
        <w:t xml:space="preserve"> had a statistically significant influence on </w:t>
      </w:r>
      <w:r w:rsidR="00334265">
        <w:t>the impact of symbolic racism regarding</w:t>
      </w:r>
      <w:r w:rsidR="00D477B2">
        <w:t xml:space="preserve"> opposition to </w:t>
      </w:r>
      <w:r w:rsidR="00D477B2" w:rsidRPr="00D477B2">
        <w:t xml:space="preserve">Barack Obama and the Democrats' </w:t>
      </w:r>
      <w:r w:rsidR="00184452" w:rsidRPr="00D477B2">
        <w:t xml:space="preserve">health care </w:t>
      </w:r>
      <w:r w:rsidR="00D477B2" w:rsidRPr="00D477B2">
        <w:t>reform bill</w:t>
      </w:r>
      <w:r>
        <w:t xml:space="preserve">; </w:t>
      </w:r>
      <w:r w:rsidR="00CB467F">
        <w:t xml:space="preserve">results from </w:t>
      </w:r>
      <w:r w:rsidR="0024407E">
        <w:t xml:space="preserve">Model </w:t>
      </w:r>
      <w:r>
        <w:t>10</w:t>
      </w:r>
      <w:r w:rsidR="00D477B2">
        <w:t xml:space="preserve"> conflict with inferences from </w:t>
      </w:r>
      <w:r w:rsidR="00334265">
        <w:t>Table 1</w:t>
      </w:r>
      <w:r w:rsidR="00F900BB">
        <w:t xml:space="preserve"> of the present study</w:t>
      </w:r>
      <w:r w:rsidR="00D477B2">
        <w:t xml:space="preserve">. </w:t>
      </w:r>
      <w:r w:rsidR="00BE24A3">
        <w:t xml:space="preserve">There are several important differences between </w:t>
      </w:r>
      <w:r w:rsidR="00F900BB">
        <w:t>key models in the two</w:t>
      </w:r>
      <w:r w:rsidR="00334265">
        <w:t xml:space="preserve"> </w:t>
      </w:r>
      <w:r w:rsidR="00F900BB">
        <w:t>studies</w:t>
      </w:r>
      <w:r w:rsidR="00345085">
        <w:t>:</w:t>
      </w:r>
    </w:p>
    <w:p w:rsidR="00F900BB" w:rsidRDefault="00F900BB" w:rsidP="00FE3B35">
      <w:pPr>
        <w:pStyle w:val="ListParagraph"/>
        <w:numPr>
          <w:ilvl w:val="0"/>
          <w:numId w:val="3"/>
        </w:numPr>
        <w:spacing w:line="480" w:lineRule="auto"/>
      </w:pPr>
      <w:r>
        <w:t xml:space="preserve">Banks (2014) did not report results for the presumed dependent variable that asked whether respondents </w:t>
      </w:r>
      <w:r w:rsidRPr="00F900BB">
        <w:t>approve</w:t>
      </w:r>
      <w:r>
        <w:t>d</w:t>
      </w:r>
      <w:r w:rsidRPr="00F900BB">
        <w:t xml:space="preserve"> or disapprove</w:t>
      </w:r>
      <w:r>
        <w:t>d</w:t>
      </w:r>
      <w:r w:rsidRPr="00F900BB">
        <w:t xml:space="preserve"> of the way Barack Obama is handling health care</w:t>
      </w:r>
      <w:r>
        <w:t>.</w:t>
      </w:r>
    </w:p>
    <w:p w:rsidR="00F900BB" w:rsidRDefault="00BE24A3" w:rsidP="00FE3B35">
      <w:pPr>
        <w:pStyle w:val="ListParagraph"/>
        <w:numPr>
          <w:ilvl w:val="0"/>
          <w:numId w:val="3"/>
        </w:numPr>
        <w:spacing w:line="480" w:lineRule="auto"/>
      </w:pPr>
      <w:r>
        <w:t xml:space="preserve">For the dependent variable asking whether respondents </w:t>
      </w:r>
      <w:r w:rsidRPr="00E869CD">
        <w:t>favor</w:t>
      </w:r>
      <w:r>
        <w:t>ed</w:t>
      </w:r>
      <w:r w:rsidRPr="00E869CD">
        <w:t xml:space="preserve"> or oppose</w:t>
      </w:r>
      <w:r>
        <w:t>d</w:t>
      </w:r>
      <w:r w:rsidRPr="00E869CD">
        <w:t xml:space="preserve"> Barack Obama and the Democrats</w:t>
      </w:r>
      <w:r>
        <w:t>'</w:t>
      </w:r>
      <w:r w:rsidRPr="00E869CD">
        <w:t xml:space="preserve"> </w:t>
      </w:r>
      <w:r w:rsidR="00CB467F" w:rsidRPr="00E869CD">
        <w:t xml:space="preserve">health care </w:t>
      </w:r>
      <w:r w:rsidRPr="00E869CD">
        <w:t>reform bil</w:t>
      </w:r>
      <w:r>
        <w:t>l, Banks (2014</w:t>
      </w:r>
      <w:r w:rsidR="00F900BB">
        <w:t xml:space="preserve">) reported results only for the </w:t>
      </w:r>
      <w:r>
        <w:t>dichotomous favor-or-oppose item</w:t>
      </w:r>
      <w:r w:rsidR="00F900BB">
        <w:t xml:space="preserve">; the present study reported results that included responses from the item about whether respondents strongly favored or strongly opposed the </w:t>
      </w:r>
      <w:r w:rsidR="00F900BB" w:rsidRPr="00E869CD">
        <w:t>health care reform bil</w:t>
      </w:r>
      <w:r w:rsidR="00F900BB">
        <w:t>l.</w:t>
      </w:r>
    </w:p>
    <w:p w:rsidR="00184452" w:rsidRDefault="00184452" w:rsidP="00FE3B35">
      <w:pPr>
        <w:pStyle w:val="ListParagraph"/>
        <w:numPr>
          <w:ilvl w:val="0"/>
          <w:numId w:val="3"/>
        </w:numPr>
        <w:spacing w:line="480" w:lineRule="auto"/>
      </w:pPr>
      <w:r>
        <w:t xml:space="preserve">Table 2 </w:t>
      </w:r>
      <w:r w:rsidR="00F900BB">
        <w:t>in</w:t>
      </w:r>
      <w:r>
        <w:t xml:space="preserve"> Banks (2014) reported results for anger and fear relative to the relaxed condition, but excluded cases for the enthusiasm condition.</w:t>
      </w:r>
    </w:p>
    <w:p w:rsidR="00BE24A3" w:rsidRDefault="00BE24A3" w:rsidP="00FE3B35">
      <w:pPr>
        <w:pStyle w:val="ListParagraph"/>
        <w:numPr>
          <w:ilvl w:val="0"/>
          <w:numId w:val="3"/>
        </w:numPr>
        <w:spacing w:line="480" w:lineRule="auto"/>
      </w:pPr>
      <w:r>
        <w:t xml:space="preserve">The </w:t>
      </w:r>
      <w:r w:rsidR="00F900BB">
        <w:t xml:space="preserve">symbolic racism scale in </w:t>
      </w:r>
      <w:r>
        <w:t xml:space="preserve">Banks (2014) included only four of the six </w:t>
      </w:r>
      <w:r w:rsidR="00F900BB">
        <w:t xml:space="preserve">symbolic racism </w:t>
      </w:r>
      <w:r>
        <w:t>items from the questionnaire.</w:t>
      </w:r>
    </w:p>
    <w:p w:rsidR="00334265" w:rsidRDefault="00334265" w:rsidP="00FE3B35">
      <w:pPr>
        <w:pStyle w:val="ListParagraph"/>
        <w:numPr>
          <w:ilvl w:val="0"/>
          <w:numId w:val="3"/>
        </w:numPr>
        <w:spacing w:line="480" w:lineRule="auto"/>
      </w:pPr>
      <w:r>
        <w:t>Banks (2014) excluded ten respondents not in the enthusiasm condition who completed the survey too quickly or too slowly.</w:t>
      </w:r>
      <w:r w:rsidR="00CB467F">
        <w:rPr>
          <w:rStyle w:val="FootnoteReference"/>
        </w:rPr>
        <w:footnoteReference w:id="2"/>
      </w:r>
    </w:p>
    <w:p w:rsidR="00345085" w:rsidRDefault="00345085" w:rsidP="00FE3B35">
      <w:pPr>
        <w:pStyle w:val="ListParagraph"/>
        <w:numPr>
          <w:ilvl w:val="0"/>
          <w:numId w:val="3"/>
        </w:numPr>
        <w:spacing w:line="480" w:lineRule="auto"/>
      </w:pPr>
      <w:r>
        <w:lastRenderedPageBreak/>
        <w:t xml:space="preserve">Banks (2014) excluded </w:t>
      </w:r>
      <w:r w:rsidR="006A4BD8">
        <w:t>nine</w:t>
      </w:r>
      <w:r w:rsidR="00236C70">
        <w:t xml:space="preserve"> </w:t>
      </w:r>
      <w:r>
        <w:t xml:space="preserve">respondents </w:t>
      </w:r>
      <w:r w:rsidR="00C80DE6">
        <w:t>who were not in the enthusiasm condition, who had</w:t>
      </w:r>
      <w:r w:rsidR="00334265">
        <w:t xml:space="preserve"> not </w:t>
      </w:r>
      <w:r w:rsidR="00C80DE6">
        <w:t xml:space="preserve">already been </w:t>
      </w:r>
      <w:r w:rsidR="00334265">
        <w:t>excluded for survey-taking time length reasons</w:t>
      </w:r>
      <w:r w:rsidR="00C80DE6">
        <w:t>,</w:t>
      </w:r>
      <w:r w:rsidR="00334265">
        <w:t xml:space="preserve"> </w:t>
      </w:r>
      <w:r w:rsidR="00C80DE6">
        <w:t xml:space="preserve">and </w:t>
      </w:r>
      <w:r>
        <w:t xml:space="preserve">whose responses indicated that the respondent did not take the treatment seriously or follow directions correctly (e.g., a response of "not smiling eyebrows pointed"). </w:t>
      </w:r>
    </w:p>
    <w:p w:rsidR="00BE24A3" w:rsidRDefault="00BE24A3" w:rsidP="00FE3B35">
      <w:pPr>
        <w:pStyle w:val="ListParagraph"/>
        <w:numPr>
          <w:ilvl w:val="0"/>
          <w:numId w:val="3"/>
        </w:numPr>
        <w:spacing w:line="480" w:lineRule="auto"/>
      </w:pPr>
      <w:r>
        <w:t xml:space="preserve">Banks (2014) included control variables for income, Southern residence, employment status, home ownership, urban residence, and political discussion. Banks described the political discussion </w:t>
      </w:r>
      <w:r w:rsidR="00E23FB9">
        <w:t>control</w:t>
      </w:r>
      <w:r>
        <w:t xml:space="preserve"> as "a measure of several political topics respondents mention in their open-ended responses to the emotion inductions" (p</w:t>
      </w:r>
      <w:r w:rsidR="00CB467F">
        <w:t>p</w:t>
      </w:r>
      <w:r>
        <w:t>. 511-512)</w:t>
      </w:r>
      <w:r w:rsidR="006A4BD8">
        <w:t xml:space="preserve">. This </w:t>
      </w:r>
      <w:r>
        <w:t xml:space="preserve">political discussion </w:t>
      </w:r>
      <w:r w:rsidR="00E23FB9">
        <w:t>control</w:t>
      </w:r>
      <w:r>
        <w:t xml:space="preserve"> coded whether respondents mentioned one of eight political or racial issues</w:t>
      </w:r>
      <w:r w:rsidR="006A4BD8">
        <w:t>, such as education or welfare; this post-</w:t>
      </w:r>
      <w:r w:rsidR="00E23FB9">
        <w:t>treatment political discussion control</w:t>
      </w:r>
      <w:r w:rsidR="006A4BD8">
        <w:t xml:space="preserve"> had four levels.</w:t>
      </w:r>
    </w:p>
    <w:p w:rsidR="00D45608" w:rsidRDefault="00D45608" w:rsidP="00FE3B35">
      <w:pPr>
        <w:spacing w:line="480" w:lineRule="auto"/>
        <w:ind w:firstLine="360"/>
      </w:pPr>
      <w:r>
        <w:t>Banks and Valentino (2012a</w:t>
      </w:r>
      <w:r w:rsidR="00334265">
        <w:t xml:space="preserve">) </w:t>
      </w:r>
      <w:r>
        <w:t>conducted</w:t>
      </w:r>
      <w:r w:rsidR="00334265">
        <w:t xml:space="preserve"> a</w:t>
      </w:r>
      <w:r>
        <w:t xml:space="preserve"> survey experiment with a similar focus, but with treatments of anger, disgust, and fear interacted with symbolic racism in predicting a scale of responses to various racial dependent variables. Main results presented in Table 2 of </w:t>
      </w:r>
      <w:r w:rsidR="00C80DE6">
        <w:t xml:space="preserve">Banks and Valentino (2012a) </w:t>
      </w:r>
      <w:r w:rsidR="00E23FB9">
        <w:t>contained control</w:t>
      </w:r>
      <w:r>
        <w:t xml:space="preserve">s for ideology, education, income, age, </w:t>
      </w:r>
      <w:r w:rsidR="00E23FB9">
        <w:t xml:space="preserve">and </w:t>
      </w:r>
      <w:r>
        <w:t xml:space="preserve">southern residence, </w:t>
      </w:r>
      <w:r w:rsidR="00E23FB9">
        <w:t>as well as</w:t>
      </w:r>
      <w:r>
        <w:t xml:space="preserve"> the political discussion </w:t>
      </w:r>
      <w:r w:rsidR="00E23FB9">
        <w:t>control</w:t>
      </w:r>
      <w:r>
        <w:t xml:space="preserve">. Reproduction code from Banks and Valentino (2012b) contained a restriction for "baddata2," </w:t>
      </w:r>
      <w:r w:rsidR="00C80DE6">
        <w:t xml:space="preserve">which is </w:t>
      </w:r>
      <w:r>
        <w:t>a variable that presumably serve</w:t>
      </w:r>
      <w:r w:rsidR="00CB467F">
        <w:t>d</w:t>
      </w:r>
      <w:r>
        <w:t xml:space="preserve"> the s</w:t>
      </w:r>
      <w:r w:rsidR="00E23FB9">
        <w:t>ame purpose as "</w:t>
      </w:r>
      <w:proofErr w:type="spellStart"/>
      <w:r w:rsidR="00E23FB9">
        <w:t>baddata</w:t>
      </w:r>
      <w:proofErr w:type="spellEnd"/>
      <w:r w:rsidR="00E23FB9">
        <w:t xml:space="preserve">" in </w:t>
      </w:r>
      <w:r>
        <w:t xml:space="preserve">Banks (2014): to exclude from the analysis respondents who did not take the treatment seriously or follow directions correctly. </w:t>
      </w:r>
      <w:r w:rsidR="00C80DE6">
        <w:t xml:space="preserve">Similar to Banks (2014), </w:t>
      </w:r>
      <w:r>
        <w:t xml:space="preserve">Banks and Valentino (2012b) used </w:t>
      </w:r>
      <w:r w:rsidR="00C80DE6">
        <w:t xml:space="preserve">four items in the </w:t>
      </w:r>
      <w:r>
        <w:t>symbolic racism battery (p. 290).</w:t>
      </w:r>
    </w:p>
    <w:p w:rsidR="00FF1FA3" w:rsidRDefault="00FF1FA3" w:rsidP="00FE3B35">
      <w:pPr>
        <w:spacing w:line="480" w:lineRule="auto"/>
        <w:rPr>
          <w:b/>
        </w:rPr>
      </w:pPr>
    </w:p>
    <w:p w:rsidR="00FE3B35" w:rsidRDefault="00FE3B35">
      <w:pPr>
        <w:rPr>
          <w:b/>
        </w:rPr>
      </w:pPr>
      <w:r>
        <w:rPr>
          <w:b/>
        </w:rPr>
        <w:br w:type="page"/>
      </w:r>
    </w:p>
    <w:p w:rsidR="00BF6D6F" w:rsidRDefault="00BF6D6F" w:rsidP="00FE3B35">
      <w:pPr>
        <w:spacing w:line="480" w:lineRule="auto"/>
      </w:pPr>
      <w:r w:rsidRPr="00BF6D6F">
        <w:rPr>
          <w:b/>
        </w:rPr>
        <w:lastRenderedPageBreak/>
        <w:t>Conclusions</w:t>
      </w:r>
    </w:p>
    <w:p w:rsidR="00C80DE6" w:rsidRDefault="00C80DE6" w:rsidP="00FE3B35">
      <w:pPr>
        <w:spacing w:line="480" w:lineRule="auto"/>
      </w:pPr>
      <w:r>
        <w:t xml:space="preserve">This study </w:t>
      </w:r>
      <w:r w:rsidR="00BD7996">
        <w:t>checked</w:t>
      </w:r>
      <w:r>
        <w:t xml:space="preserve"> the main analysis of Banks (2014), presented </w:t>
      </w:r>
      <w:r w:rsidR="00C90484">
        <w:t xml:space="preserve">in </w:t>
      </w:r>
      <w:r>
        <w:t>Table 2 of that article,</w:t>
      </w:r>
      <w:r w:rsidR="00C90484">
        <w:t xml:space="preserve"> which </w:t>
      </w:r>
      <w:r>
        <w:t>suggest</w:t>
      </w:r>
      <w:r w:rsidR="00C90484">
        <w:t>ed</w:t>
      </w:r>
      <w:r>
        <w:t xml:space="preserve"> that "anger uniquely increases the impact of racial attitudes on health care opinions" (p. 508); however, this study presented evidence that the data a</w:t>
      </w:r>
      <w:r w:rsidR="00C90484">
        <w:t>nalyzed in Banks (2014) admits</w:t>
      </w:r>
      <w:r>
        <w:t xml:space="preserve"> another inference: that fear </w:t>
      </w:r>
      <w:r w:rsidR="00C90484">
        <w:t xml:space="preserve">might </w:t>
      </w:r>
      <w:r w:rsidR="00BD7996">
        <w:t>have been</w:t>
      </w:r>
      <w:r w:rsidR="00C90484">
        <w:t xml:space="preserve"> at least as strong of an influence as anger on the impact of </w:t>
      </w:r>
      <w:r w:rsidR="00F106FA">
        <w:t xml:space="preserve">symbolic racism </w:t>
      </w:r>
      <w:r w:rsidR="00C90484">
        <w:t xml:space="preserve">on opinions about </w:t>
      </w:r>
      <w:r w:rsidR="00C90484" w:rsidRPr="00581B28">
        <w:t>Barack Obama and the Democrats' health care reform</w:t>
      </w:r>
      <w:r w:rsidR="00F106FA">
        <w:t xml:space="preserve">; however, this latter inference is clouded by the possibility that much of the effect of symbolic racism </w:t>
      </w:r>
      <w:r w:rsidR="00E23FB9">
        <w:t xml:space="preserve">in the experiment might </w:t>
      </w:r>
      <w:r w:rsidR="00F106FA">
        <w:t>reflect partisanship and not racial attitudes per se.</w:t>
      </w:r>
    </w:p>
    <w:p w:rsidR="00E47704" w:rsidRDefault="009A31AD" w:rsidP="00FE3B35">
      <w:pPr>
        <w:spacing w:line="480" w:lineRule="auto"/>
        <w:ind w:firstLine="720"/>
      </w:pPr>
      <w:r>
        <w:t xml:space="preserve">It would not be surprising if fear contributed to opposition to </w:t>
      </w:r>
      <w:r w:rsidRPr="00581B28">
        <w:t>the Democrats' health care refor</w:t>
      </w:r>
      <w:r>
        <w:t>m bill, given the massive scale of the reform to one-sixth of the U.S. economy (</w:t>
      </w:r>
      <w:proofErr w:type="spellStart"/>
      <w:r w:rsidRPr="009A31AD">
        <w:t>Whitesides</w:t>
      </w:r>
      <w:proofErr w:type="spellEnd"/>
      <w:r w:rsidRPr="009A31AD">
        <w:t xml:space="preserve"> and Smith</w:t>
      </w:r>
      <w:r>
        <w:t xml:space="preserve"> 2009), the possibility that the reform bill might cause a loss of current insurance ("</w:t>
      </w:r>
      <w:r w:rsidRPr="009A31AD">
        <w:t xml:space="preserve">So, can you keep your insurance under the health care proposals </w:t>
      </w:r>
      <w:r>
        <w:t xml:space="preserve">in Congress? Answer: It depends", </w:t>
      </w:r>
      <w:r w:rsidRPr="009A31AD">
        <w:t>Robertson</w:t>
      </w:r>
      <w:r>
        <w:t xml:space="preserve"> 2009), and the </w:t>
      </w:r>
      <w:r w:rsidR="00E23FB9">
        <w:t>concern</w:t>
      </w:r>
      <w:r>
        <w:t xml:space="preserve"> that the bill would create "death panels," which is a claim that earned the </w:t>
      </w:r>
      <w:proofErr w:type="spellStart"/>
      <w:r>
        <w:t>PolitiFact</w:t>
      </w:r>
      <w:proofErr w:type="spellEnd"/>
      <w:r>
        <w:t xml:space="preserve"> "Lie of the Year" (</w:t>
      </w:r>
      <w:proofErr w:type="spellStart"/>
      <w:r>
        <w:t>Holan</w:t>
      </w:r>
      <w:proofErr w:type="spellEnd"/>
      <w:r>
        <w:t xml:space="preserve"> 2009).</w:t>
      </w:r>
      <w:r w:rsidRPr="009A31AD">
        <w:t xml:space="preserve"> </w:t>
      </w:r>
      <w:r>
        <w:t xml:space="preserve">But if fear drove ‒ and drives ‒ opposition to </w:t>
      </w:r>
      <w:r w:rsidRPr="00581B28">
        <w:t>the Democrats' health care refor</w:t>
      </w:r>
      <w:r w:rsidR="00E23FB9">
        <w:t>m,</w:t>
      </w:r>
      <w:r>
        <w:t xml:space="preserve"> then that permits more prescriptions than if the main driver were anger. To the extent that fear reflects uncertainty about the future, fear can be partially addressed by incremental change and additional information.</w:t>
      </w:r>
    </w:p>
    <w:p w:rsidR="00426935" w:rsidRDefault="009A31AD" w:rsidP="00FE3B35">
      <w:pPr>
        <w:spacing w:line="480" w:lineRule="auto"/>
        <w:ind w:firstLine="720"/>
      </w:pPr>
      <w:r>
        <w:t xml:space="preserve">Regarding the contribution of this study more generally, </w:t>
      </w:r>
      <w:r w:rsidR="00426935">
        <w:t xml:space="preserve">Franco et al. (2015) provided evidence from the TESS database that researchers underreport experimental conditions and dependent variables. The present study </w:t>
      </w:r>
      <w:r>
        <w:t>c</w:t>
      </w:r>
      <w:r w:rsidR="00EE3092">
        <w:t>ompar</w:t>
      </w:r>
      <w:r w:rsidR="00426935">
        <w:t>ed</w:t>
      </w:r>
      <w:r w:rsidR="00EE3092">
        <w:t xml:space="preserve"> </w:t>
      </w:r>
      <w:r w:rsidR="009F6036">
        <w:t xml:space="preserve">results reported in Banks </w:t>
      </w:r>
      <w:r w:rsidR="00025A41">
        <w:t xml:space="preserve">(2014) </w:t>
      </w:r>
      <w:r w:rsidR="009F6036">
        <w:t xml:space="preserve">with </w:t>
      </w:r>
      <w:r w:rsidR="00EE3092">
        <w:t xml:space="preserve">results </w:t>
      </w:r>
      <w:r w:rsidR="00426935">
        <w:t xml:space="preserve">based on the presumed intended research design drawn from the </w:t>
      </w:r>
      <w:r w:rsidR="00426935">
        <w:lastRenderedPageBreak/>
        <w:t xml:space="preserve">survey questionnaire for </w:t>
      </w:r>
      <w:r w:rsidR="00025A41">
        <w:t>the</w:t>
      </w:r>
      <w:r w:rsidR="009F6036">
        <w:t xml:space="preserve"> study</w:t>
      </w:r>
      <w:r w:rsidR="00426935">
        <w:t>, illustrating that underreporting of dependent variables can affect inferences: in some situations,</w:t>
      </w:r>
      <w:r w:rsidR="008913AB">
        <w:t xml:space="preserve"> </w:t>
      </w:r>
      <w:r w:rsidR="00EE3092">
        <w:t xml:space="preserve">two researchers can analyze the same data </w:t>
      </w:r>
      <w:r w:rsidR="00B36F39">
        <w:t>and</w:t>
      </w:r>
      <w:r w:rsidR="00EE3092">
        <w:t xml:space="preserve"> produce substantially different inferences. </w:t>
      </w:r>
    </w:p>
    <w:p w:rsidR="00BF6D6F" w:rsidRDefault="007350E2" w:rsidP="00FE3B35">
      <w:pPr>
        <w:spacing w:line="480" w:lineRule="auto"/>
        <w:ind w:firstLine="720"/>
      </w:pPr>
      <w:r>
        <w:t>Such i</w:t>
      </w:r>
      <w:r w:rsidR="00B36F39">
        <w:t xml:space="preserve">nferential selection </w:t>
      </w:r>
      <w:r w:rsidR="00F106FA">
        <w:t xml:space="preserve">bias </w:t>
      </w:r>
      <w:r w:rsidR="00465C55">
        <w:t xml:space="preserve">can be reduced </w:t>
      </w:r>
      <w:r w:rsidR="009243E4">
        <w:t xml:space="preserve">in </w:t>
      </w:r>
      <w:r w:rsidR="00465C55">
        <w:t>several</w:t>
      </w:r>
      <w:r w:rsidR="009243E4">
        <w:t xml:space="preserve"> ways</w:t>
      </w:r>
      <w:r w:rsidR="00465C55">
        <w:t xml:space="preserve">, such as </w:t>
      </w:r>
      <w:r w:rsidR="009243E4">
        <w:t>peer reviewers request</w:t>
      </w:r>
      <w:r w:rsidR="00465C55">
        <w:t>ing</w:t>
      </w:r>
      <w:r w:rsidR="009243E4">
        <w:t xml:space="preserve"> additional analyses</w:t>
      </w:r>
      <w:r w:rsidR="00465C55">
        <w:t xml:space="preserve"> and </w:t>
      </w:r>
      <w:r w:rsidR="009243E4">
        <w:t>journals requir</w:t>
      </w:r>
      <w:r w:rsidR="00465C55">
        <w:t>ing</w:t>
      </w:r>
      <w:r w:rsidR="009243E4">
        <w:t xml:space="preserve"> disclosures to ensure</w:t>
      </w:r>
      <w:r w:rsidR="00465C55">
        <w:t xml:space="preserve"> </w:t>
      </w:r>
      <w:r w:rsidR="00BB5F24">
        <w:t xml:space="preserve">that </w:t>
      </w:r>
      <w:r w:rsidR="009243E4">
        <w:t xml:space="preserve">results </w:t>
      </w:r>
      <w:r w:rsidR="00175CAF">
        <w:t xml:space="preserve">are reported </w:t>
      </w:r>
      <w:r w:rsidR="009243E4">
        <w:t xml:space="preserve">for all </w:t>
      </w:r>
      <w:r w:rsidR="00465C55">
        <w:t xml:space="preserve">treatments and </w:t>
      </w:r>
      <w:r w:rsidR="009243E4">
        <w:t>dependent variables</w:t>
      </w:r>
      <w:r w:rsidR="00465C55">
        <w:t>. Re</w:t>
      </w:r>
      <w:r w:rsidR="009243E4">
        <w:t xml:space="preserve">searchers themselves can reduce </w:t>
      </w:r>
      <w:r w:rsidR="00465C55">
        <w:t xml:space="preserve">researcher degrees of freedom </w:t>
      </w:r>
      <w:r w:rsidR="009243E4">
        <w:rPr>
          <w:rFonts w:ascii="Symbol" w:hAnsi="Symbol"/>
        </w:rPr>
        <w:t></w:t>
      </w:r>
      <w:r w:rsidR="009243E4">
        <w:t xml:space="preserve"> and thus </w:t>
      </w:r>
      <w:r w:rsidR="00C501A6">
        <w:t xml:space="preserve">legitimately </w:t>
      </w:r>
      <w:r w:rsidR="009243E4">
        <w:t xml:space="preserve">present analyses as confirmatory </w:t>
      </w:r>
      <w:r w:rsidR="009243E4">
        <w:rPr>
          <w:rFonts w:ascii="Symbol" w:hAnsi="Symbol"/>
        </w:rPr>
        <w:t></w:t>
      </w:r>
      <w:r w:rsidR="009243E4">
        <w:t xml:space="preserve"> </w:t>
      </w:r>
      <w:r w:rsidR="00891ACC">
        <w:t>by</w:t>
      </w:r>
      <w:r w:rsidR="00BB5F24">
        <w:t xml:space="preserve"> </w:t>
      </w:r>
      <w:r w:rsidR="009243E4">
        <w:t>follow</w:t>
      </w:r>
      <w:r w:rsidR="00891ACC">
        <w:t>ing</w:t>
      </w:r>
      <w:r w:rsidR="009243E4">
        <w:t xml:space="preserve"> a preregistered research design</w:t>
      </w:r>
      <w:r w:rsidR="00F106FA">
        <w:t xml:space="preserve"> (</w:t>
      </w:r>
      <w:proofErr w:type="spellStart"/>
      <w:r w:rsidR="00F106FA">
        <w:t>Monogan</w:t>
      </w:r>
      <w:proofErr w:type="spellEnd"/>
      <w:r w:rsidR="00F106FA">
        <w:t xml:space="preserve"> 2013).</w:t>
      </w:r>
      <w:r w:rsidR="009A31AD">
        <w:t xml:space="preserve"> Journals requiring </w:t>
      </w:r>
      <w:r w:rsidR="00E8747C">
        <w:t xml:space="preserve">public posting of </w:t>
      </w:r>
      <w:r w:rsidR="009A31AD">
        <w:t xml:space="preserve">data and code for a published study can also reduce inferential selection bias if </w:t>
      </w:r>
      <w:r w:rsidR="00BD7996">
        <w:t xml:space="preserve">there is a </w:t>
      </w:r>
      <w:r w:rsidR="000D02E4">
        <w:t xml:space="preserve">realistic </w:t>
      </w:r>
      <w:r w:rsidR="00BD7996">
        <w:t xml:space="preserve">risk that </w:t>
      </w:r>
      <w:r w:rsidR="009A31AD">
        <w:t xml:space="preserve">other researchers </w:t>
      </w:r>
      <w:r w:rsidR="00BD7996">
        <w:t xml:space="preserve">will </w:t>
      </w:r>
      <w:r w:rsidR="009A31AD">
        <w:t>analyze the data and report the robustness of result</w:t>
      </w:r>
      <w:r w:rsidR="00BD7996">
        <w:t xml:space="preserve">s to alternate research designs; thus, policies that permit or require journals to publish replications and reproductions of articles published in that journal </w:t>
      </w:r>
      <w:r w:rsidR="00BD7996">
        <w:softHyphen/>
      </w:r>
      <w:r w:rsidR="00BD7996">
        <w:sym w:font="Symbol" w:char="F02D"/>
      </w:r>
      <w:r w:rsidR="00BD7996">
        <w:t xml:space="preserve"> whether in the regular journal itself or </w:t>
      </w:r>
      <w:r w:rsidR="00E23FB9">
        <w:t>in</w:t>
      </w:r>
      <w:r w:rsidR="00BD7996">
        <w:t xml:space="preserve"> an online supplement </w:t>
      </w:r>
      <w:r w:rsidR="00BD7996">
        <w:sym w:font="Symbol" w:char="F02D"/>
      </w:r>
      <w:r w:rsidR="00BD7996">
        <w:t xml:space="preserve"> might encourage researchers to </w:t>
      </w:r>
      <w:r w:rsidR="00BD7996" w:rsidRPr="000D02E4">
        <w:t xml:space="preserve">more fully report the range of possible inferences that their data admit (see </w:t>
      </w:r>
      <w:r w:rsidR="000D02E4" w:rsidRPr="000D02E4">
        <w:t>Srivastava 2012).</w:t>
      </w:r>
    </w:p>
    <w:p w:rsidR="00AA5209" w:rsidRDefault="00AA5209" w:rsidP="00FE3B35">
      <w:pPr>
        <w:spacing w:line="480" w:lineRule="auto"/>
      </w:pPr>
    </w:p>
    <w:p w:rsidR="00CB467F" w:rsidRPr="00CB467F" w:rsidRDefault="00CB467F" w:rsidP="00FE3B35">
      <w:pPr>
        <w:spacing w:line="480" w:lineRule="auto"/>
        <w:rPr>
          <w:b/>
        </w:rPr>
      </w:pPr>
      <w:r w:rsidRPr="00CB467F">
        <w:rPr>
          <w:b/>
        </w:rPr>
        <w:t>Acknowledgements</w:t>
      </w:r>
    </w:p>
    <w:p w:rsidR="00627C30" w:rsidRDefault="00CB467F" w:rsidP="00FE3B35">
      <w:pPr>
        <w:spacing w:line="480" w:lineRule="auto"/>
        <w:rPr>
          <w:b/>
        </w:rPr>
      </w:pPr>
      <w:r>
        <w:t xml:space="preserve">The author thanks Antoine Banks for discussing and providing data for the original study. The author also thanks Jeremy </w:t>
      </w:r>
      <w:proofErr w:type="spellStart"/>
      <w:r>
        <w:t>Freese</w:t>
      </w:r>
      <w:proofErr w:type="spellEnd"/>
      <w:r>
        <w:t xml:space="preserve"> for assistance and information regarding the TESS data.</w:t>
      </w:r>
      <w:r w:rsidR="00B92862">
        <w:t xml:space="preserve"> </w:t>
      </w:r>
      <w:r w:rsidR="00C26BCE" w:rsidRPr="00C26BCE">
        <w:t xml:space="preserve">Data </w:t>
      </w:r>
      <w:r w:rsidR="00C26BCE">
        <w:t xml:space="preserve">were </w:t>
      </w:r>
      <w:r w:rsidR="00C26BCE" w:rsidRPr="00C26BCE">
        <w:t>collected by</w:t>
      </w:r>
      <w:r w:rsidR="00FF1FA3">
        <w:t xml:space="preserve"> the</w:t>
      </w:r>
      <w:r w:rsidR="00C26BCE" w:rsidRPr="00C26BCE">
        <w:t xml:space="preserve"> Time-sharing Experiments for the Social Sciences, NSF Grant 0818839, Jeremy </w:t>
      </w:r>
      <w:proofErr w:type="spellStart"/>
      <w:r w:rsidR="00C26BCE" w:rsidRPr="00C26BCE">
        <w:t>Freese</w:t>
      </w:r>
      <w:proofErr w:type="spellEnd"/>
      <w:r w:rsidR="00C26BCE" w:rsidRPr="00C26BCE">
        <w:t xml:space="preserve"> and Penny </w:t>
      </w:r>
      <w:proofErr w:type="spellStart"/>
      <w:r w:rsidR="00C26BCE" w:rsidRPr="00C26BCE">
        <w:t>Visser</w:t>
      </w:r>
      <w:proofErr w:type="spellEnd"/>
      <w:r w:rsidR="00C26BCE" w:rsidRPr="00C26BCE">
        <w:t>, Principal Investigators</w:t>
      </w:r>
      <w:r w:rsidR="00B92862">
        <w:t>; t</w:t>
      </w:r>
      <w:r w:rsidR="0005004C">
        <w:t>he TESS study was based on a proposal by Antoine Banks (019).</w:t>
      </w:r>
      <w:r w:rsidR="00627C30">
        <w:rPr>
          <w:b/>
        </w:rPr>
        <w:br w:type="page"/>
      </w:r>
    </w:p>
    <w:p w:rsidR="00054C75" w:rsidRPr="00054C75" w:rsidRDefault="00054C75" w:rsidP="003725AB">
      <w:pPr>
        <w:rPr>
          <w:b/>
        </w:rPr>
      </w:pPr>
      <w:r w:rsidRPr="00054C75">
        <w:rPr>
          <w:b/>
        </w:rPr>
        <w:lastRenderedPageBreak/>
        <w:t>References</w:t>
      </w:r>
      <w:bookmarkStart w:id="0" w:name="_GoBack"/>
      <w:bookmarkEnd w:id="0"/>
    </w:p>
    <w:p w:rsidR="002C13E6" w:rsidRDefault="00891ACC" w:rsidP="002C13E6">
      <w:pPr>
        <w:spacing w:after="240"/>
        <w:ind w:left="720" w:hanging="720"/>
      </w:pPr>
      <w:r>
        <w:t>Banks, Antoine J. 2014. "The Public'</w:t>
      </w:r>
      <w:r w:rsidRPr="00054C75">
        <w:t xml:space="preserve">s Anger: White Racial Attitudes and Opinions toward Health Care Reform." </w:t>
      </w:r>
      <w:r w:rsidRPr="00643ADE">
        <w:rPr>
          <w:i/>
        </w:rPr>
        <w:t>Political Behavior</w:t>
      </w:r>
      <w:r w:rsidRPr="00054C75">
        <w:t xml:space="preserve"> </w:t>
      </w:r>
      <w:r w:rsidRPr="00891ACC">
        <w:t>36:</w:t>
      </w:r>
      <w:r>
        <w:t xml:space="preserve"> </w:t>
      </w:r>
      <w:r w:rsidR="00643ADE">
        <w:t>493-</w:t>
      </w:r>
      <w:r w:rsidRPr="00891ACC">
        <w:t>514</w:t>
      </w:r>
      <w:r>
        <w:t>.</w:t>
      </w:r>
    </w:p>
    <w:p w:rsidR="00D0078A" w:rsidRDefault="00D0078A" w:rsidP="002C13E6">
      <w:pPr>
        <w:spacing w:after="240"/>
        <w:ind w:left="720" w:hanging="720"/>
      </w:pPr>
      <w:proofErr w:type="gramStart"/>
      <w:r w:rsidRPr="00D0078A">
        <w:t>Banks, Antoine J., and Nicholas A. Valentino.</w:t>
      </w:r>
      <w:proofErr w:type="gramEnd"/>
      <w:r w:rsidRPr="00D0078A">
        <w:t xml:space="preserve"> </w:t>
      </w:r>
      <w:proofErr w:type="gramStart"/>
      <w:r>
        <w:t>2012</w:t>
      </w:r>
      <w:r w:rsidR="00334265">
        <w:t>a</w:t>
      </w:r>
      <w:r>
        <w:t xml:space="preserve">. </w:t>
      </w:r>
      <w:r w:rsidRPr="00D0078A">
        <w:t>"Emotional Substrates of White Racial Attitudes."</w:t>
      </w:r>
      <w:proofErr w:type="gramEnd"/>
      <w:r w:rsidRPr="00D0078A">
        <w:t xml:space="preserve"> </w:t>
      </w:r>
      <w:r w:rsidRPr="00D0078A">
        <w:rPr>
          <w:i/>
        </w:rPr>
        <w:t>American Journal of Political Science</w:t>
      </w:r>
      <w:r w:rsidRPr="00D0078A">
        <w:t xml:space="preserve"> 56(2): 286-297.</w:t>
      </w:r>
    </w:p>
    <w:p w:rsidR="00D0078A" w:rsidRDefault="00D0078A" w:rsidP="002C13E6">
      <w:pPr>
        <w:spacing w:after="240"/>
        <w:ind w:left="720" w:hanging="720"/>
      </w:pPr>
      <w:proofErr w:type="gramStart"/>
      <w:r w:rsidRPr="00D0078A">
        <w:t>Banks, Antoine J., and Nicholas A. Valentino.</w:t>
      </w:r>
      <w:proofErr w:type="gramEnd"/>
      <w:r w:rsidRPr="00D0078A">
        <w:t xml:space="preserve"> </w:t>
      </w:r>
      <w:r>
        <w:t>2012</w:t>
      </w:r>
      <w:r w:rsidR="00334265">
        <w:t>b</w:t>
      </w:r>
      <w:r>
        <w:t xml:space="preserve">. </w:t>
      </w:r>
      <w:r w:rsidRPr="00D0078A">
        <w:t>"Emotional Substrates of White Racial Attitudes", http://dx.doi.org/10.7910/DVN/27293 UNF</w:t>
      </w:r>
      <w:proofErr w:type="gramStart"/>
      <w:r w:rsidRPr="00D0078A">
        <w:t>:5:exTzN36xpmIsZIP7IvkwsQ</w:t>
      </w:r>
      <w:proofErr w:type="gramEnd"/>
      <w:r w:rsidRPr="00D0078A">
        <w:t>== V1 [Version]</w:t>
      </w:r>
    </w:p>
    <w:p w:rsidR="00383A57" w:rsidRDefault="00383A57" w:rsidP="002C13E6">
      <w:pPr>
        <w:spacing w:after="240"/>
        <w:ind w:left="720" w:hanging="720"/>
      </w:pPr>
      <w:r w:rsidRPr="00383A57">
        <w:t xml:space="preserve">Cronbach, Lee J. 1951. </w:t>
      </w:r>
      <w:proofErr w:type="gramStart"/>
      <w:r w:rsidRPr="00383A57">
        <w:t>"Coefficient Alpha and the Internal Structure of Tests."</w:t>
      </w:r>
      <w:proofErr w:type="gramEnd"/>
      <w:r w:rsidRPr="00383A57">
        <w:t xml:space="preserve"> </w:t>
      </w:r>
      <w:proofErr w:type="spellStart"/>
      <w:r w:rsidRPr="009A31AD">
        <w:rPr>
          <w:i/>
        </w:rPr>
        <w:t>Psychometrika</w:t>
      </w:r>
      <w:proofErr w:type="spellEnd"/>
      <w:r w:rsidRPr="00383A57">
        <w:t xml:space="preserve"> 16(3): 297-334.</w:t>
      </w:r>
    </w:p>
    <w:p w:rsidR="00426935" w:rsidRDefault="00426935" w:rsidP="00426935">
      <w:pPr>
        <w:spacing w:after="240"/>
        <w:ind w:left="720" w:hanging="720"/>
      </w:pPr>
      <w:proofErr w:type="gramStart"/>
      <w:r>
        <w:t xml:space="preserve">Franco, Annie, Gabor </w:t>
      </w:r>
      <w:proofErr w:type="spellStart"/>
      <w:r>
        <w:t>Simonovits</w:t>
      </w:r>
      <w:proofErr w:type="spellEnd"/>
      <w:r>
        <w:t>, and Neil Malhotra.</w:t>
      </w:r>
      <w:proofErr w:type="gramEnd"/>
      <w:r>
        <w:t xml:space="preserve"> 2015. "Underreporting in Political Science Survey Experiments: Comparing Questionnaires to Published Results." </w:t>
      </w:r>
      <w:proofErr w:type="gramStart"/>
      <w:r w:rsidRPr="00426935">
        <w:rPr>
          <w:i/>
        </w:rPr>
        <w:t>Political Analysis</w:t>
      </w:r>
      <w:r>
        <w:t>.</w:t>
      </w:r>
      <w:proofErr w:type="gramEnd"/>
      <w:r>
        <w:t xml:space="preserve"> </w:t>
      </w:r>
      <w:proofErr w:type="gramStart"/>
      <w:r>
        <w:t>Available online, March 24, 2015 doi:10.1093/pan/mpv006.</w:t>
      </w:r>
      <w:proofErr w:type="gramEnd"/>
      <w:r>
        <w:t xml:space="preserve"> </w:t>
      </w:r>
    </w:p>
    <w:p w:rsidR="00627C30" w:rsidRDefault="00627C30" w:rsidP="002C13E6">
      <w:pPr>
        <w:spacing w:after="240"/>
        <w:ind w:left="720" w:hanging="720"/>
      </w:pPr>
      <w:proofErr w:type="spellStart"/>
      <w:proofErr w:type="gramStart"/>
      <w:r w:rsidRPr="00627C30">
        <w:t>Gelman</w:t>
      </w:r>
      <w:proofErr w:type="spellEnd"/>
      <w:r w:rsidRPr="00627C30">
        <w:t xml:space="preserve">, Andrew, and Eric </w:t>
      </w:r>
      <w:proofErr w:type="spellStart"/>
      <w:r w:rsidRPr="00627C30">
        <w:t>Loken</w:t>
      </w:r>
      <w:proofErr w:type="spellEnd"/>
      <w:r w:rsidRPr="00627C30">
        <w:t>.</w:t>
      </w:r>
      <w:proofErr w:type="gramEnd"/>
      <w:r w:rsidRPr="00627C30">
        <w:t xml:space="preserve"> </w:t>
      </w:r>
      <w:r>
        <w:t xml:space="preserve">2014. </w:t>
      </w:r>
      <w:r w:rsidRPr="00627C30">
        <w:t xml:space="preserve">"The Statistical Crisis in Science." </w:t>
      </w:r>
      <w:r w:rsidRPr="00627C30">
        <w:rPr>
          <w:i/>
        </w:rPr>
        <w:t>American Scientist</w:t>
      </w:r>
      <w:r>
        <w:t xml:space="preserve"> 102</w:t>
      </w:r>
      <w:r w:rsidRPr="00627C30">
        <w:t>(</w:t>
      </w:r>
      <w:r>
        <w:t>6</w:t>
      </w:r>
      <w:r w:rsidRPr="00627C30">
        <w:t>): 460</w:t>
      </w:r>
      <w:r>
        <w:t>-465</w:t>
      </w:r>
      <w:r w:rsidRPr="00627C30">
        <w:t>.</w:t>
      </w:r>
    </w:p>
    <w:p w:rsidR="00060C7B" w:rsidRDefault="00060C7B" w:rsidP="002C13E6">
      <w:pPr>
        <w:spacing w:after="240"/>
        <w:ind w:left="720" w:hanging="720"/>
      </w:pPr>
      <w:proofErr w:type="spellStart"/>
      <w:r>
        <w:t>Holan</w:t>
      </w:r>
      <w:proofErr w:type="spellEnd"/>
      <w:r>
        <w:t xml:space="preserve">, Angie </w:t>
      </w:r>
      <w:proofErr w:type="spellStart"/>
      <w:r>
        <w:t>Drobnic</w:t>
      </w:r>
      <w:proofErr w:type="spellEnd"/>
      <w:r>
        <w:t>. 2009. "</w:t>
      </w:r>
      <w:proofErr w:type="spellStart"/>
      <w:r>
        <w:t>PolitiFact's</w:t>
      </w:r>
      <w:proofErr w:type="spellEnd"/>
      <w:r>
        <w:t xml:space="preserve"> Lie of the Year: 'Death panels'." </w:t>
      </w:r>
      <w:proofErr w:type="gramStart"/>
      <w:r>
        <w:t>PolitiFact.com. December 18.</w:t>
      </w:r>
      <w:proofErr w:type="gramEnd"/>
      <w:r>
        <w:t xml:space="preserve"> </w:t>
      </w:r>
      <w:proofErr w:type="gramStart"/>
      <w:r>
        <w:t xml:space="preserve">Retrieved Jan 29, 2015, from: </w:t>
      </w:r>
      <w:hyperlink r:id="rId9" w:history="1">
        <w:r w:rsidRPr="001B5E87">
          <w:rPr>
            <w:rStyle w:val="Hyperlink"/>
          </w:rPr>
          <w:t>http://www.politifact.com/truth-o-meter/article/2009/dec/18/politifact-lie-year-death-panels/</w:t>
        </w:r>
      </w:hyperlink>
      <w:r>
        <w:t>.</w:t>
      </w:r>
      <w:proofErr w:type="gramEnd"/>
      <w:r>
        <w:t xml:space="preserve"> </w:t>
      </w:r>
    </w:p>
    <w:p w:rsidR="00F106FA" w:rsidRDefault="00F106FA" w:rsidP="002C13E6">
      <w:pPr>
        <w:spacing w:after="240"/>
        <w:ind w:left="720" w:hanging="720"/>
      </w:pPr>
      <w:proofErr w:type="spellStart"/>
      <w:r w:rsidRPr="00F106FA">
        <w:t>Monogan</w:t>
      </w:r>
      <w:proofErr w:type="spellEnd"/>
      <w:r w:rsidRPr="00F106FA">
        <w:t>, James E. 2013. "A Case for Registering Studies of</w:t>
      </w:r>
      <w:r>
        <w:t xml:space="preserve"> Political Outcomes: An Applica</w:t>
      </w:r>
      <w:r w:rsidRPr="00F106FA">
        <w:t xml:space="preserve">tion in the 2010 House Elections." </w:t>
      </w:r>
      <w:r w:rsidRPr="00F106FA">
        <w:rPr>
          <w:i/>
        </w:rPr>
        <w:t>Political Analysis</w:t>
      </w:r>
      <w:r w:rsidRPr="00F106FA">
        <w:t xml:space="preserve"> 21(1): 21-37.</w:t>
      </w:r>
    </w:p>
    <w:p w:rsidR="00060C7B" w:rsidRDefault="00060C7B" w:rsidP="002C13E6">
      <w:pPr>
        <w:spacing w:after="240"/>
        <w:ind w:left="720" w:hanging="720"/>
      </w:pPr>
      <w:r w:rsidRPr="00060C7B">
        <w:t>Robertson</w:t>
      </w:r>
      <w:r>
        <w:t>,</w:t>
      </w:r>
      <w:r w:rsidRPr="00060C7B">
        <w:t xml:space="preserve"> Lori</w:t>
      </w:r>
      <w:r>
        <w:t xml:space="preserve">. 2009. "Keep Your Insurance? Not Everyone." </w:t>
      </w:r>
      <w:proofErr w:type="gramStart"/>
      <w:r>
        <w:t>FactCheck.org. August 18.</w:t>
      </w:r>
      <w:proofErr w:type="gramEnd"/>
      <w:r>
        <w:t xml:space="preserve"> </w:t>
      </w:r>
      <w:proofErr w:type="gramStart"/>
      <w:r>
        <w:t xml:space="preserve">Retrieved Jan 29, 2015, from: </w:t>
      </w:r>
      <w:hyperlink r:id="rId10" w:history="1">
        <w:r w:rsidRPr="001B5E87">
          <w:rPr>
            <w:rStyle w:val="Hyperlink"/>
          </w:rPr>
          <w:t>http://www.factcheck.org/2009/08/keep-your-insurance-not-everyone/</w:t>
        </w:r>
      </w:hyperlink>
      <w:r>
        <w:t>.</w:t>
      </w:r>
      <w:proofErr w:type="gramEnd"/>
      <w:r>
        <w:t xml:space="preserve"> </w:t>
      </w:r>
    </w:p>
    <w:p w:rsidR="00F106FA" w:rsidRDefault="00F106FA" w:rsidP="002C13E6">
      <w:pPr>
        <w:spacing w:after="240"/>
        <w:ind w:left="720" w:hanging="720"/>
      </w:pPr>
      <w:proofErr w:type="gramStart"/>
      <w:r w:rsidRPr="00F106FA">
        <w:t>Sears, David O., and Patrick J. Henry.</w:t>
      </w:r>
      <w:proofErr w:type="gramEnd"/>
      <w:r w:rsidRPr="00F106FA">
        <w:t xml:space="preserve"> 2003. "The Origins of Symbolic Racism." </w:t>
      </w:r>
      <w:r w:rsidRPr="00F106FA">
        <w:rPr>
          <w:i/>
        </w:rPr>
        <w:t>Journal of Personality and Social Psycholog</w:t>
      </w:r>
      <w:r w:rsidRPr="00F106FA">
        <w:t>y 85(2): 259-275.</w:t>
      </w:r>
    </w:p>
    <w:p w:rsidR="00EE3092" w:rsidRDefault="00EE3092" w:rsidP="002C13E6">
      <w:pPr>
        <w:spacing w:after="240"/>
        <w:ind w:left="720" w:hanging="720"/>
      </w:pPr>
      <w:proofErr w:type="gramStart"/>
      <w:r w:rsidRPr="00EE3092">
        <w:t xml:space="preserve">Simmons, Joseph P., Leif D. Nelson, and Uri </w:t>
      </w:r>
      <w:proofErr w:type="spellStart"/>
      <w:r w:rsidRPr="00EE3092">
        <w:t>Simonsohn</w:t>
      </w:r>
      <w:proofErr w:type="spellEnd"/>
      <w:r w:rsidRPr="00EE3092">
        <w:t>.</w:t>
      </w:r>
      <w:proofErr w:type="gramEnd"/>
      <w:r w:rsidRPr="00EE3092">
        <w:t xml:space="preserve"> 2011. "False-Positive Psychology Undisclosed Flexibility in Data Collection and Analysis Allows Presenting Anything as Significant." </w:t>
      </w:r>
      <w:r w:rsidRPr="00643ADE">
        <w:rPr>
          <w:i/>
        </w:rPr>
        <w:t>Psychological Science</w:t>
      </w:r>
      <w:r w:rsidRPr="00EE3092">
        <w:t xml:space="preserve"> 22(11): 1359-1366.</w:t>
      </w:r>
    </w:p>
    <w:p w:rsidR="00175CAF" w:rsidRDefault="00175CAF" w:rsidP="002C13E6">
      <w:pPr>
        <w:spacing w:after="240"/>
        <w:ind w:left="720" w:hanging="720"/>
      </w:pPr>
      <w:r w:rsidRPr="00175CAF">
        <w:t>Srivastava</w:t>
      </w:r>
      <w:r>
        <w:t>, Sanjay. 2012. "</w:t>
      </w:r>
      <w:r w:rsidRPr="00175CAF">
        <w:t>A Pottery Barn Rule for Scientific Journals</w:t>
      </w:r>
      <w:r>
        <w:t xml:space="preserve">." </w:t>
      </w:r>
      <w:proofErr w:type="gramStart"/>
      <w:r w:rsidRPr="00175CAF">
        <w:rPr>
          <w:i/>
        </w:rPr>
        <w:t>The Hardest Science.</w:t>
      </w:r>
      <w:proofErr w:type="gramEnd"/>
      <w:r>
        <w:t xml:space="preserve"> </w:t>
      </w:r>
      <w:proofErr w:type="gramStart"/>
      <w:r>
        <w:t xml:space="preserve">Retrieved March 18, 2015, from: </w:t>
      </w:r>
      <w:hyperlink r:id="rId11" w:history="1">
        <w:r w:rsidRPr="004802EC">
          <w:rPr>
            <w:rStyle w:val="Hyperlink"/>
          </w:rPr>
          <w:t>https://hardsci.wordpress.com/2012/09/27/a-pottery-barn-rule-for-scientific-journals/</w:t>
        </w:r>
      </w:hyperlink>
      <w:r>
        <w:t>.</w:t>
      </w:r>
      <w:proofErr w:type="gramEnd"/>
      <w:r>
        <w:t xml:space="preserve"> </w:t>
      </w:r>
    </w:p>
    <w:p w:rsidR="002C13E6" w:rsidRDefault="00060C7B" w:rsidP="002C13E6">
      <w:pPr>
        <w:spacing w:after="240"/>
        <w:ind w:left="720" w:hanging="720"/>
      </w:pPr>
      <w:proofErr w:type="spellStart"/>
      <w:proofErr w:type="gramStart"/>
      <w:r>
        <w:t>Whitesides</w:t>
      </w:r>
      <w:proofErr w:type="spellEnd"/>
      <w:r>
        <w:t>, John, and Donna Smith.</w:t>
      </w:r>
      <w:proofErr w:type="gramEnd"/>
      <w:r>
        <w:t xml:space="preserve"> 2009. "Senate Healthcare Bill Hits Obama Cost Target." Reuters. November 18. </w:t>
      </w:r>
      <w:proofErr w:type="gramStart"/>
      <w:r>
        <w:t xml:space="preserve">Retrieved Jan 29, 2015, from: </w:t>
      </w:r>
      <w:hyperlink r:id="rId12" w:history="1">
        <w:r w:rsidRPr="001B5E87">
          <w:rPr>
            <w:rStyle w:val="Hyperlink"/>
          </w:rPr>
          <w:t>http://www.reuters.com/article/2009/11/18/us-usa-healthcare-idUSN1812587720091118</w:t>
        </w:r>
      </w:hyperlink>
      <w:r>
        <w:t>.</w:t>
      </w:r>
      <w:proofErr w:type="gramEnd"/>
      <w:r>
        <w:t xml:space="preserve"> </w:t>
      </w:r>
    </w:p>
    <w:p w:rsidR="001371BF" w:rsidRPr="001371BF" w:rsidRDefault="008E1C4C" w:rsidP="0024407E">
      <w:pPr>
        <w:jc w:val="center"/>
        <w:rPr>
          <w:b/>
        </w:rPr>
      </w:pPr>
      <w:r>
        <w:rPr>
          <w:b/>
        </w:rPr>
        <w:lastRenderedPageBreak/>
        <w:t>Supplemental Information</w:t>
      </w:r>
    </w:p>
    <w:p w:rsidR="00C501A6" w:rsidRPr="007F6DFD" w:rsidRDefault="00C501A6" w:rsidP="003725AB">
      <w:pPr>
        <w:rPr>
          <w:u w:val="single"/>
        </w:rPr>
      </w:pPr>
      <w:r w:rsidRPr="007F6DFD">
        <w:rPr>
          <w:u w:val="single"/>
        </w:rPr>
        <w:t>Measurement of symbolic racism</w:t>
      </w:r>
    </w:p>
    <w:p w:rsidR="00BB5F24" w:rsidRDefault="00C501A6" w:rsidP="00C26BCE">
      <w:r>
        <w:t>"</w:t>
      </w:r>
      <w:r w:rsidR="00BB5F24">
        <w:t xml:space="preserve">For each of the following statements, we would like you to indicate whether you agree strongly, agree somewhat, </w:t>
      </w:r>
      <w:proofErr w:type="gramStart"/>
      <w:r w:rsidR="00BB5F24">
        <w:t>neither agree nor disagree, disagree</w:t>
      </w:r>
      <w:proofErr w:type="gramEnd"/>
      <w:r w:rsidR="00BB5F24">
        <w:t xml:space="preserve"> somewhat, or disagree strongly.</w:t>
      </w:r>
    </w:p>
    <w:p w:rsidR="00BB5F24" w:rsidRDefault="00BB5F24" w:rsidP="00C26BCE"/>
    <w:p w:rsidR="006F6406" w:rsidRDefault="00BB5F24" w:rsidP="00C26BCE">
      <w:pPr>
        <w:pStyle w:val="ListParagraph"/>
        <w:numPr>
          <w:ilvl w:val="0"/>
          <w:numId w:val="6"/>
        </w:numPr>
      </w:pPr>
      <w:r>
        <w:t>Generations of slavery and discrimination have created conditions that make it difficult for blacks to work their way out of the lower class</w:t>
      </w:r>
    </w:p>
    <w:p w:rsidR="006F6406" w:rsidRDefault="00BB5F24" w:rsidP="00C26BCE">
      <w:pPr>
        <w:pStyle w:val="ListParagraph"/>
        <w:numPr>
          <w:ilvl w:val="0"/>
          <w:numId w:val="6"/>
        </w:numPr>
      </w:pPr>
      <w:r>
        <w:t xml:space="preserve">It is really a matter of some people not trying hard enough; if blacks would only try harder they could be just as well off as whites. </w:t>
      </w:r>
    </w:p>
    <w:p w:rsidR="006F6406" w:rsidRDefault="00BB5F24" w:rsidP="00C26BCE">
      <w:pPr>
        <w:pStyle w:val="ListParagraph"/>
        <w:numPr>
          <w:ilvl w:val="0"/>
          <w:numId w:val="6"/>
        </w:numPr>
      </w:pPr>
      <w:r>
        <w:t xml:space="preserve">Irish, Italian, Jewish and many other minorities overcame prejudice and worked their way up.  Blacks should do the same without any special favors. </w:t>
      </w:r>
    </w:p>
    <w:p w:rsidR="006F6406" w:rsidRDefault="00BB5F24" w:rsidP="00C26BCE">
      <w:pPr>
        <w:pStyle w:val="ListParagraph"/>
        <w:numPr>
          <w:ilvl w:val="0"/>
          <w:numId w:val="6"/>
        </w:numPr>
      </w:pPr>
      <w:r>
        <w:t xml:space="preserve">Government officials usually pay less attention to a request or complaint from a black person than from a white person. </w:t>
      </w:r>
    </w:p>
    <w:p w:rsidR="006F6406" w:rsidRDefault="00BB5F24" w:rsidP="00C26BCE">
      <w:pPr>
        <w:pStyle w:val="ListParagraph"/>
        <w:numPr>
          <w:ilvl w:val="0"/>
          <w:numId w:val="6"/>
        </w:numPr>
      </w:pPr>
      <w:r>
        <w:t xml:space="preserve">Over the past few years, blacks have gotten less than they deserve. </w:t>
      </w:r>
    </w:p>
    <w:p w:rsidR="006F6406" w:rsidRDefault="00BB5F24" w:rsidP="00C26BCE">
      <w:pPr>
        <w:pStyle w:val="ListParagraph"/>
        <w:numPr>
          <w:ilvl w:val="0"/>
          <w:numId w:val="6"/>
        </w:numPr>
      </w:pPr>
      <w:r>
        <w:t xml:space="preserve">Most blacks who receive money from welfare programs could get </w:t>
      </w:r>
      <w:r w:rsidR="006F6406">
        <w:t>along without it if they tried.</w:t>
      </w:r>
      <w:r w:rsidR="00C501A6">
        <w:t>"</w:t>
      </w:r>
    </w:p>
    <w:p w:rsidR="00F106FA" w:rsidRDefault="00F106FA" w:rsidP="003725AB"/>
    <w:p w:rsidR="006F6406" w:rsidRDefault="007F6DFD" w:rsidP="003725AB">
      <w:r w:rsidRPr="007F6DFD">
        <w:t xml:space="preserve">Responses were summed </w:t>
      </w:r>
      <w:r>
        <w:t>to the above six items, with items 2, 3, and 6 reverse coded.</w:t>
      </w:r>
      <w:r w:rsidR="00465C55">
        <w:t xml:space="preserve"> Items 4 and 6 were not used in the Banks (2014) analyses.</w:t>
      </w:r>
      <w:r w:rsidR="0005424A">
        <w:t xml:space="preserve"> There were 21 cases with a missing response on at least 1 of the 6 symbolic racism items.</w:t>
      </w:r>
    </w:p>
    <w:p w:rsidR="007F6DFD" w:rsidRDefault="007F6DFD" w:rsidP="003725AB"/>
    <w:p w:rsidR="006F6406" w:rsidRPr="007F6DFD" w:rsidRDefault="007F6DFD" w:rsidP="003725AB">
      <w:pPr>
        <w:rPr>
          <w:u w:val="single"/>
        </w:rPr>
      </w:pPr>
      <w:r w:rsidRPr="007F6DFD">
        <w:rPr>
          <w:u w:val="single"/>
        </w:rPr>
        <w:t>Measurement of l</w:t>
      </w:r>
      <w:r w:rsidR="006F6406" w:rsidRPr="007F6DFD">
        <w:rPr>
          <w:u w:val="single"/>
        </w:rPr>
        <w:t>imited government</w:t>
      </w:r>
    </w:p>
    <w:p w:rsidR="007F6DFD" w:rsidRDefault="006F6406" w:rsidP="00A0078C">
      <w:r>
        <w:t>"</w:t>
      </w:r>
      <w:r w:rsidR="00BB5F24">
        <w:t>Some people think the government should provide fewer services in order to reduce spending. Other people feel it is important for the government to provide more services even if it means an increase in taxes.  Where would you place yourself on this scale, or haven’t you thought much about this?</w:t>
      </w:r>
      <w:r>
        <w:t xml:space="preserve">" </w:t>
      </w:r>
    </w:p>
    <w:p w:rsidR="007F6DFD" w:rsidRDefault="007F6DFD" w:rsidP="003725AB">
      <w:pPr>
        <w:ind w:right="1440"/>
      </w:pPr>
    </w:p>
    <w:p w:rsidR="006F6406" w:rsidRDefault="006F6406" w:rsidP="003725AB">
      <w:r>
        <w:t>Responses</w:t>
      </w:r>
      <w:r w:rsidR="007F6DFD">
        <w:t xml:space="preserve"> </w:t>
      </w:r>
      <w:r>
        <w:t xml:space="preserve">were </w:t>
      </w:r>
      <w:r w:rsidR="00A13CBB">
        <w:t xml:space="preserve">initially </w:t>
      </w:r>
      <w:r>
        <w:t xml:space="preserve">coded from 1 </w:t>
      </w:r>
      <w:r w:rsidR="00465C55">
        <w:t>(</w:t>
      </w:r>
      <w:r>
        <w:t>"</w:t>
      </w:r>
      <w:r w:rsidRPr="006F6406">
        <w:t>The government should provide fewer servi</w:t>
      </w:r>
      <w:r>
        <w:t>ces in order to reduce spending"</w:t>
      </w:r>
      <w:r w:rsidR="00465C55">
        <w:t>)</w:t>
      </w:r>
      <w:r>
        <w:t xml:space="preserve"> to 7 </w:t>
      </w:r>
      <w:r w:rsidR="00465C55">
        <w:t>(</w:t>
      </w:r>
      <w:r>
        <w:t>"</w:t>
      </w:r>
      <w:r w:rsidRPr="006F6406">
        <w:t>The government should provide more services even if it means an increase in taxes</w:t>
      </w:r>
      <w:r w:rsidR="00465C55">
        <w:t>"),</w:t>
      </w:r>
      <w:r w:rsidR="00A13CBB">
        <w:t xml:space="preserve"> but were reverse coded for the analysis.</w:t>
      </w:r>
    </w:p>
    <w:p w:rsidR="00506C65" w:rsidRDefault="00506C65" w:rsidP="003725AB"/>
    <w:p w:rsidR="00506C65" w:rsidRDefault="00506C65" w:rsidP="003725AB"/>
    <w:p w:rsidR="00506C65" w:rsidRDefault="00506C65">
      <w:pPr>
        <w:rPr>
          <w:b/>
        </w:rPr>
      </w:pPr>
      <w:r>
        <w:rPr>
          <w:b/>
        </w:rPr>
        <w:br w:type="page"/>
      </w:r>
    </w:p>
    <w:p w:rsidR="00506C65" w:rsidRPr="0099156B" w:rsidRDefault="00506C65" w:rsidP="00506C65">
      <w:pPr>
        <w:jc w:val="center"/>
        <w:rPr>
          <w:b/>
        </w:rPr>
      </w:pPr>
      <w:proofErr w:type="gramStart"/>
      <w:r w:rsidRPr="0099156B">
        <w:rPr>
          <w:b/>
        </w:rPr>
        <w:lastRenderedPageBreak/>
        <w:t>Table 1.</w:t>
      </w:r>
      <w:proofErr w:type="gramEnd"/>
      <w:r w:rsidRPr="0099156B">
        <w:rPr>
          <w:b/>
        </w:rPr>
        <w:t xml:space="preserve"> Influence of Emotions on </w:t>
      </w:r>
      <w:r w:rsidRPr="007A4BE7">
        <w:rPr>
          <w:b/>
        </w:rPr>
        <w:t>the Effect of Symbolic Racism</w:t>
      </w:r>
      <w:r>
        <w:t xml:space="preserve"> </w:t>
      </w:r>
    </w:p>
    <w:p w:rsidR="00506C65" w:rsidRDefault="00506C65" w:rsidP="00506C65">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5"/>
        <w:gridCol w:w="2227"/>
        <w:gridCol w:w="2227"/>
        <w:gridCol w:w="2227"/>
      </w:tblGrid>
      <w:tr w:rsidR="00506C65" w:rsidRPr="00D208CF" w:rsidTr="000C2643">
        <w:tc>
          <w:tcPr>
            <w:tcW w:w="1511" w:type="pct"/>
          </w:tcPr>
          <w:p w:rsidR="00506C65" w:rsidRPr="00D208CF" w:rsidRDefault="00506C65" w:rsidP="000C2643">
            <w:pPr>
              <w:widowControl w:val="0"/>
              <w:autoSpaceDE w:val="0"/>
              <w:autoSpaceDN w:val="0"/>
              <w:adjustRightInd w:val="0"/>
            </w:pPr>
          </w:p>
        </w:tc>
        <w:tc>
          <w:tcPr>
            <w:tcW w:w="1163" w:type="pct"/>
          </w:tcPr>
          <w:p w:rsidR="00506C65" w:rsidRPr="00D208CF" w:rsidRDefault="00506C65" w:rsidP="000C2643">
            <w:pPr>
              <w:widowControl w:val="0"/>
              <w:autoSpaceDE w:val="0"/>
              <w:autoSpaceDN w:val="0"/>
              <w:adjustRightInd w:val="0"/>
              <w:jc w:val="center"/>
            </w:pPr>
            <w:r w:rsidRPr="00D208CF">
              <w:t>1</w:t>
            </w:r>
          </w:p>
        </w:tc>
        <w:tc>
          <w:tcPr>
            <w:tcW w:w="1163" w:type="pct"/>
          </w:tcPr>
          <w:p w:rsidR="00506C65" w:rsidRPr="00D208CF" w:rsidRDefault="00506C65" w:rsidP="000C2643">
            <w:pPr>
              <w:widowControl w:val="0"/>
              <w:autoSpaceDE w:val="0"/>
              <w:autoSpaceDN w:val="0"/>
              <w:adjustRightInd w:val="0"/>
              <w:jc w:val="center"/>
            </w:pPr>
            <w:r w:rsidRPr="00D208CF">
              <w:t>2</w:t>
            </w:r>
          </w:p>
        </w:tc>
        <w:tc>
          <w:tcPr>
            <w:tcW w:w="1163" w:type="pct"/>
          </w:tcPr>
          <w:p w:rsidR="00506C65" w:rsidRPr="00D208CF" w:rsidRDefault="00506C65" w:rsidP="000C2643">
            <w:pPr>
              <w:widowControl w:val="0"/>
              <w:autoSpaceDE w:val="0"/>
              <w:autoSpaceDN w:val="0"/>
              <w:adjustRightInd w:val="0"/>
              <w:jc w:val="center"/>
            </w:pPr>
            <w:r w:rsidRPr="00D208CF">
              <w:t>3</w:t>
            </w:r>
          </w:p>
        </w:tc>
      </w:tr>
      <w:tr w:rsidR="00506C65" w:rsidRPr="00D208CF" w:rsidTr="000C2643">
        <w:tc>
          <w:tcPr>
            <w:tcW w:w="1511" w:type="pct"/>
          </w:tcPr>
          <w:p w:rsidR="00506C65" w:rsidRPr="00D208CF" w:rsidRDefault="00506C65" w:rsidP="000C2643">
            <w:pPr>
              <w:widowControl w:val="0"/>
              <w:autoSpaceDE w:val="0"/>
              <w:autoSpaceDN w:val="0"/>
              <w:adjustRightInd w:val="0"/>
            </w:pPr>
          </w:p>
        </w:tc>
        <w:tc>
          <w:tcPr>
            <w:tcW w:w="1163" w:type="pct"/>
            <w:vAlign w:val="center"/>
          </w:tcPr>
          <w:p w:rsidR="00506C65" w:rsidRPr="00D208CF" w:rsidRDefault="003A407B" w:rsidP="003A407B">
            <w:pPr>
              <w:widowControl w:val="0"/>
              <w:autoSpaceDE w:val="0"/>
              <w:autoSpaceDN w:val="0"/>
              <w:adjustRightInd w:val="0"/>
              <w:jc w:val="center"/>
            </w:pPr>
            <w:r>
              <w:t>Disapproval of</w:t>
            </w:r>
            <w:r w:rsidR="00506C65" w:rsidRPr="00D208CF">
              <w:t xml:space="preserve"> the way Barack Obama is handling health care</w:t>
            </w:r>
          </w:p>
        </w:tc>
        <w:tc>
          <w:tcPr>
            <w:tcW w:w="1163" w:type="pct"/>
            <w:vAlign w:val="center"/>
          </w:tcPr>
          <w:p w:rsidR="00506C65" w:rsidRPr="00D208CF" w:rsidRDefault="00506C65" w:rsidP="000C2643">
            <w:pPr>
              <w:widowControl w:val="0"/>
              <w:autoSpaceDE w:val="0"/>
              <w:autoSpaceDN w:val="0"/>
              <w:adjustRightInd w:val="0"/>
              <w:jc w:val="center"/>
            </w:pPr>
            <w:r w:rsidRPr="00D208CF">
              <w:t>Opposition to Barack Obama and the Democrats' Health Care reform bill</w:t>
            </w:r>
          </w:p>
        </w:tc>
        <w:tc>
          <w:tcPr>
            <w:tcW w:w="1163" w:type="pct"/>
            <w:vAlign w:val="center"/>
          </w:tcPr>
          <w:p w:rsidR="00506C65" w:rsidRPr="00D208CF" w:rsidRDefault="00506C65" w:rsidP="000C2643">
            <w:pPr>
              <w:widowControl w:val="0"/>
              <w:autoSpaceDE w:val="0"/>
              <w:autoSpaceDN w:val="0"/>
              <w:adjustRightInd w:val="0"/>
              <w:jc w:val="center"/>
            </w:pPr>
            <w:r w:rsidRPr="00D208CF">
              <w:t xml:space="preserve">Negative views </w:t>
            </w:r>
            <w:r w:rsidRPr="005624CF">
              <w:t>of Barack Obama and the Democrats' health care reform</w:t>
            </w:r>
            <w:r>
              <w:t xml:space="preserve"> </w:t>
            </w:r>
            <w:r w:rsidRPr="00D208CF">
              <w:t>scale</w:t>
            </w:r>
          </w:p>
        </w:tc>
      </w:tr>
      <w:tr w:rsidR="00506C65" w:rsidRPr="00D208CF" w:rsidTr="000C2643">
        <w:tc>
          <w:tcPr>
            <w:tcW w:w="1511" w:type="pct"/>
            <w:vAlign w:val="center"/>
          </w:tcPr>
          <w:p w:rsidR="00506C65" w:rsidRPr="00D208CF" w:rsidRDefault="00506C65" w:rsidP="000C2643">
            <w:pPr>
              <w:widowControl w:val="0"/>
              <w:autoSpaceDE w:val="0"/>
              <w:autoSpaceDN w:val="0"/>
              <w:adjustRightInd w:val="0"/>
            </w:pPr>
            <w:r>
              <w:t>SR</w:t>
            </w:r>
            <w:r w:rsidRPr="00D208CF">
              <w:t xml:space="preserve"> x Anger</w:t>
            </w:r>
          </w:p>
        </w:tc>
        <w:tc>
          <w:tcPr>
            <w:tcW w:w="1163" w:type="pct"/>
          </w:tcPr>
          <w:p w:rsidR="00506C65" w:rsidRPr="00D208CF" w:rsidRDefault="00506C65" w:rsidP="000C2643">
            <w:pPr>
              <w:widowControl w:val="0"/>
              <w:autoSpaceDE w:val="0"/>
              <w:autoSpaceDN w:val="0"/>
              <w:adjustRightInd w:val="0"/>
              <w:jc w:val="center"/>
            </w:pPr>
            <w:r w:rsidRPr="00D208CF">
              <w:t>0.48</w:t>
            </w:r>
            <w:r w:rsidRPr="00D208CF">
              <w:br/>
              <w:t>(0.41)</w:t>
            </w:r>
          </w:p>
        </w:tc>
        <w:tc>
          <w:tcPr>
            <w:tcW w:w="1163" w:type="pct"/>
          </w:tcPr>
          <w:p w:rsidR="00506C65" w:rsidRPr="00D208CF" w:rsidRDefault="00506C65" w:rsidP="000C2643">
            <w:pPr>
              <w:widowControl w:val="0"/>
              <w:autoSpaceDE w:val="0"/>
              <w:autoSpaceDN w:val="0"/>
              <w:adjustRightInd w:val="0"/>
              <w:jc w:val="center"/>
            </w:pPr>
            <w:r w:rsidRPr="00D208CF">
              <w:t>0.48</w:t>
            </w:r>
            <w:r w:rsidRPr="00D208CF">
              <w:br/>
              <w:t>(0.38)</w:t>
            </w:r>
          </w:p>
        </w:tc>
        <w:tc>
          <w:tcPr>
            <w:tcW w:w="1163" w:type="pct"/>
          </w:tcPr>
          <w:p w:rsidR="00506C65" w:rsidRPr="00D208CF" w:rsidRDefault="00506C65" w:rsidP="000C2643">
            <w:pPr>
              <w:widowControl w:val="0"/>
              <w:autoSpaceDE w:val="0"/>
              <w:autoSpaceDN w:val="0"/>
              <w:adjustRightInd w:val="0"/>
              <w:jc w:val="center"/>
            </w:pPr>
            <w:r w:rsidRPr="00D208CF">
              <w:t>0.52</w:t>
            </w:r>
            <w:r w:rsidRPr="00D208CF">
              <w:br/>
              <w:t>(0.39)</w:t>
            </w:r>
          </w:p>
        </w:tc>
      </w:tr>
      <w:tr w:rsidR="00506C65" w:rsidRPr="00D208CF" w:rsidTr="000C2643">
        <w:tc>
          <w:tcPr>
            <w:tcW w:w="1511" w:type="pct"/>
            <w:vAlign w:val="center"/>
          </w:tcPr>
          <w:p w:rsidR="00506C65" w:rsidRPr="00D208CF" w:rsidRDefault="00506C65" w:rsidP="000C2643">
            <w:pPr>
              <w:widowControl w:val="0"/>
              <w:autoSpaceDE w:val="0"/>
              <w:autoSpaceDN w:val="0"/>
              <w:adjustRightInd w:val="0"/>
            </w:pPr>
            <w:r>
              <w:t>S</w:t>
            </w:r>
            <w:r w:rsidRPr="00D208CF">
              <w:t>R x Fear</w:t>
            </w:r>
          </w:p>
        </w:tc>
        <w:tc>
          <w:tcPr>
            <w:tcW w:w="1163" w:type="pct"/>
          </w:tcPr>
          <w:p w:rsidR="00506C65" w:rsidRPr="00D208CF" w:rsidRDefault="00506C65" w:rsidP="000C2643">
            <w:pPr>
              <w:widowControl w:val="0"/>
              <w:autoSpaceDE w:val="0"/>
              <w:autoSpaceDN w:val="0"/>
              <w:adjustRightInd w:val="0"/>
              <w:jc w:val="center"/>
              <w:rPr>
                <w:b/>
              </w:rPr>
            </w:pPr>
            <w:r w:rsidRPr="00D208CF">
              <w:rPr>
                <w:b/>
              </w:rPr>
              <w:t>1.04</w:t>
            </w:r>
            <w:r w:rsidR="00E23FB9">
              <w:rPr>
                <w:b/>
              </w:rPr>
              <w:t>*</w:t>
            </w:r>
            <w:r w:rsidRPr="00D208CF">
              <w:rPr>
                <w:b/>
              </w:rPr>
              <w:br/>
              <w:t>(0.37)</w:t>
            </w:r>
          </w:p>
        </w:tc>
        <w:tc>
          <w:tcPr>
            <w:tcW w:w="1163" w:type="pct"/>
          </w:tcPr>
          <w:p w:rsidR="00506C65" w:rsidRPr="00D208CF" w:rsidRDefault="00506C65" w:rsidP="000C2643">
            <w:pPr>
              <w:widowControl w:val="0"/>
              <w:autoSpaceDE w:val="0"/>
              <w:autoSpaceDN w:val="0"/>
              <w:adjustRightInd w:val="0"/>
              <w:jc w:val="center"/>
              <w:rPr>
                <w:b/>
              </w:rPr>
            </w:pPr>
            <w:r w:rsidRPr="00D208CF">
              <w:rPr>
                <w:b/>
              </w:rPr>
              <w:t>0.82</w:t>
            </w:r>
            <w:r w:rsidR="00E23FB9">
              <w:rPr>
                <w:b/>
              </w:rPr>
              <w:t>*</w:t>
            </w:r>
            <w:r w:rsidRPr="00D208CF">
              <w:rPr>
                <w:b/>
              </w:rPr>
              <w:br/>
              <w:t>(0.36)</w:t>
            </w:r>
          </w:p>
        </w:tc>
        <w:tc>
          <w:tcPr>
            <w:tcW w:w="1163" w:type="pct"/>
          </w:tcPr>
          <w:p w:rsidR="00506C65" w:rsidRPr="00D208CF" w:rsidRDefault="00506C65" w:rsidP="000C2643">
            <w:pPr>
              <w:widowControl w:val="0"/>
              <w:autoSpaceDE w:val="0"/>
              <w:autoSpaceDN w:val="0"/>
              <w:adjustRightInd w:val="0"/>
              <w:jc w:val="center"/>
              <w:rPr>
                <w:b/>
              </w:rPr>
            </w:pPr>
            <w:r w:rsidRPr="00D208CF">
              <w:rPr>
                <w:b/>
              </w:rPr>
              <w:t>0.97</w:t>
            </w:r>
            <w:r w:rsidR="00E23FB9">
              <w:rPr>
                <w:b/>
              </w:rPr>
              <w:t>*</w:t>
            </w:r>
            <w:r w:rsidRPr="00D208CF">
              <w:rPr>
                <w:b/>
              </w:rPr>
              <w:br/>
              <w:t>(0.35)</w:t>
            </w:r>
          </w:p>
        </w:tc>
      </w:tr>
      <w:tr w:rsidR="00506C65" w:rsidRPr="00D208CF" w:rsidTr="000C2643">
        <w:tc>
          <w:tcPr>
            <w:tcW w:w="1511" w:type="pct"/>
            <w:vAlign w:val="center"/>
          </w:tcPr>
          <w:p w:rsidR="00506C65" w:rsidRPr="00D208CF" w:rsidRDefault="00506C65" w:rsidP="000C2643">
            <w:pPr>
              <w:widowControl w:val="0"/>
              <w:autoSpaceDE w:val="0"/>
              <w:autoSpaceDN w:val="0"/>
              <w:adjustRightInd w:val="0"/>
            </w:pPr>
            <w:r>
              <w:t>S</w:t>
            </w:r>
            <w:r w:rsidRPr="00D208CF">
              <w:t>R x Enthusiasm</w:t>
            </w:r>
          </w:p>
        </w:tc>
        <w:tc>
          <w:tcPr>
            <w:tcW w:w="1163" w:type="pct"/>
          </w:tcPr>
          <w:p w:rsidR="00506C65" w:rsidRPr="00D208CF" w:rsidRDefault="00506C65" w:rsidP="000C2643">
            <w:pPr>
              <w:widowControl w:val="0"/>
              <w:autoSpaceDE w:val="0"/>
              <w:autoSpaceDN w:val="0"/>
              <w:adjustRightInd w:val="0"/>
              <w:jc w:val="center"/>
            </w:pPr>
            <w:r w:rsidRPr="00D208CF">
              <w:t>-0.22</w:t>
            </w:r>
            <w:r w:rsidRPr="00D208CF">
              <w:br/>
              <w:t>(0.42)</w:t>
            </w:r>
          </w:p>
        </w:tc>
        <w:tc>
          <w:tcPr>
            <w:tcW w:w="1163" w:type="pct"/>
          </w:tcPr>
          <w:p w:rsidR="00506C65" w:rsidRPr="00D208CF" w:rsidRDefault="00506C65" w:rsidP="000C2643">
            <w:pPr>
              <w:widowControl w:val="0"/>
              <w:autoSpaceDE w:val="0"/>
              <w:autoSpaceDN w:val="0"/>
              <w:adjustRightInd w:val="0"/>
              <w:jc w:val="center"/>
            </w:pPr>
            <w:r w:rsidRPr="00D208CF">
              <w:t>-0.43</w:t>
            </w:r>
            <w:r w:rsidRPr="00D208CF">
              <w:br/>
              <w:t>(0.42)</w:t>
            </w:r>
          </w:p>
        </w:tc>
        <w:tc>
          <w:tcPr>
            <w:tcW w:w="1163" w:type="pct"/>
          </w:tcPr>
          <w:p w:rsidR="00506C65" w:rsidRPr="00D208CF" w:rsidRDefault="00506C65" w:rsidP="000C2643">
            <w:pPr>
              <w:widowControl w:val="0"/>
              <w:autoSpaceDE w:val="0"/>
              <w:autoSpaceDN w:val="0"/>
              <w:adjustRightInd w:val="0"/>
              <w:jc w:val="center"/>
            </w:pPr>
            <w:r w:rsidRPr="00D208CF">
              <w:t>-0.26</w:t>
            </w:r>
            <w:r w:rsidRPr="00D208CF">
              <w:br/>
              <w:t>(0.41)</w:t>
            </w:r>
          </w:p>
        </w:tc>
      </w:tr>
      <w:tr w:rsidR="00506C65" w:rsidRPr="00D208CF" w:rsidTr="000C2643">
        <w:tc>
          <w:tcPr>
            <w:tcW w:w="1511" w:type="pct"/>
            <w:vAlign w:val="center"/>
          </w:tcPr>
          <w:p w:rsidR="00506C65" w:rsidRPr="00D208CF" w:rsidRDefault="00506C65" w:rsidP="000C2643">
            <w:pPr>
              <w:widowControl w:val="0"/>
              <w:autoSpaceDE w:val="0"/>
              <w:autoSpaceDN w:val="0"/>
              <w:adjustRightInd w:val="0"/>
            </w:pPr>
            <w:r w:rsidRPr="00D208CF">
              <w:t>Anger condition</w:t>
            </w:r>
          </w:p>
        </w:tc>
        <w:tc>
          <w:tcPr>
            <w:tcW w:w="1163" w:type="pct"/>
          </w:tcPr>
          <w:p w:rsidR="00506C65" w:rsidRPr="00D208CF" w:rsidRDefault="00506C65" w:rsidP="000C2643">
            <w:pPr>
              <w:widowControl w:val="0"/>
              <w:autoSpaceDE w:val="0"/>
              <w:autoSpaceDN w:val="0"/>
              <w:adjustRightInd w:val="0"/>
              <w:jc w:val="center"/>
            </w:pPr>
            <w:r w:rsidRPr="00D208CF">
              <w:t>-0.32</w:t>
            </w:r>
            <w:r w:rsidRPr="00D208CF">
              <w:br/>
              <w:t>(0.27)</w:t>
            </w:r>
          </w:p>
        </w:tc>
        <w:tc>
          <w:tcPr>
            <w:tcW w:w="1163" w:type="pct"/>
          </w:tcPr>
          <w:p w:rsidR="00506C65" w:rsidRPr="00D208CF" w:rsidRDefault="00506C65" w:rsidP="000C2643">
            <w:pPr>
              <w:widowControl w:val="0"/>
              <w:autoSpaceDE w:val="0"/>
              <w:autoSpaceDN w:val="0"/>
              <w:adjustRightInd w:val="0"/>
              <w:jc w:val="center"/>
            </w:pPr>
            <w:r w:rsidRPr="00D208CF">
              <w:t>-0.31</w:t>
            </w:r>
            <w:r w:rsidRPr="00D208CF">
              <w:br/>
              <w:t>(0.26)</w:t>
            </w:r>
          </w:p>
        </w:tc>
        <w:tc>
          <w:tcPr>
            <w:tcW w:w="1163" w:type="pct"/>
          </w:tcPr>
          <w:p w:rsidR="00506C65" w:rsidRPr="00D208CF" w:rsidRDefault="00506C65" w:rsidP="000C2643">
            <w:pPr>
              <w:widowControl w:val="0"/>
              <w:autoSpaceDE w:val="0"/>
              <w:autoSpaceDN w:val="0"/>
              <w:adjustRightInd w:val="0"/>
              <w:jc w:val="center"/>
            </w:pPr>
            <w:r w:rsidRPr="00D208CF">
              <w:t>-0.34</w:t>
            </w:r>
            <w:r w:rsidRPr="00D208CF">
              <w:br/>
              <w:t>(0.26)</w:t>
            </w:r>
          </w:p>
        </w:tc>
      </w:tr>
      <w:tr w:rsidR="00506C65" w:rsidRPr="00D208CF" w:rsidTr="000C2643">
        <w:tc>
          <w:tcPr>
            <w:tcW w:w="1511" w:type="pct"/>
            <w:vAlign w:val="center"/>
          </w:tcPr>
          <w:p w:rsidR="00506C65" w:rsidRPr="00D208CF" w:rsidRDefault="00506C65" w:rsidP="000C2643">
            <w:pPr>
              <w:widowControl w:val="0"/>
              <w:autoSpaceDE w:val="0"/>
              <w:autoSpaceDN w:val="0"/>
              <w:adjustRightInd w:val="0"/>
            </w:pPr>
            <w:r w:rsidRPr="00D208CF">
              <w:t>Fear condition</w:t>
            </w:r>
          </w:p>
        </w:tc>
        <w:tc>
          <w:tcPr>
            <w:tcW w:w="1163" w:type="pct"/>
          </w:tcPr>
          <w:p w:rsidR="00506C65" w:rsidRPr="00D208CF" w:rsidRDefault="00506C65" w:rsidP="000C2643">
            <w:pPr>
              <w:widowControl w:val="0"/>
              <w:autoSpaceDE w:val="0"/>
              <w:autoSpaceDN w:val="0"/>
              <w:adjustRightInd w:val="0"/>
              <w:jc w:val="center"/>
              <w:rPr>
                <w:b/>
              </w:rPr>
            </w:pPr>
            <w:r w:rsidRPr="00D208CF">
              <w:rPr>
                <w:b/>
              </w:rPr>
              <w:t>-0.78</w:t>
            </w:r>
            <w:r w:rsidR="00E23FB9">
              <w:rPr>
                <w:b/>
              </w:rPr>
              <w:t>*</w:t>
            </w:r>
            <w:r w:rsidRPr="00D208CF">
              <w:rPr>
                <w:b/>
              </w:rPr>
              <w:br/>
              <w:t>(0.25)</w:t>
            </w:r>
          </w:p>
        </w:tc>
        <w:tc>
          <w:tcPr>
            <w:tcW w:w="1163" w:type="pct"/>
          </w:tcPr>
          <w:p w:rsidR="00506C65" w:rsidRPr="00D208CF" w:rsidRDefault="00506C65" w:rsidP="000C2643">
            <w:pPr>
              <w:widowControl w:val="0"/>
              <w:autoSpaceDE w:val="0"/>
              <w:autoSpaceDN w:val="0"/>
              <w:adjustRightInd w:val="0"/>
              <w:jc w:val="center"/>
              <w:rPr>
                <w:b/>
              </w:rPr>
            </w:pPr>
            <w:r w:rsidRPr="00D208CF">
              <w:rPr>
                <w:b/>
              </w:rPr>
              <w:t>-0.64</w:t>
            </w:r>
            <w:r w:rsidR="00E23FB9">
              <w:rPr>
                <w:b/>
              </w:rPr>
              <w:t>*</w:t>
            </w:r>
            <w:r w:rsidRPr="00D208CF">
              <w:rPr>
                <w:b/>
              </w:rPr>
              <w:br/>
              <w:t>(0.26)</w:t>
            </w:r>
          </w:p>
        </w:tc>
        <w:tc>
          <w:tcPr>
            <w:tcW w:w="1163" w:type="pct"/>
          </w:tcPr>
          <w:p w:rsidR="00506C65" w:rsidRPr="00D208CF" w:rsidRDefault="00506C65" w:rsidP="000C2643">
            <w:pPr>
              <w:widowControl w:val="0"/>
              <w:autoSpaceDE w:val="0"/>
              <w:autoSpaceDN w:val="0"/>
              <w:adjustRightInd w:val="0"/>
              <w:jc w:val="center"/>
              <w:rPr>
                <w:b/>
              </w:rPr>
            </w:pPr>
            <w:r w:rsidRPr="00D208CF">
              <w:rPr>
                <w:b/>
              </w:rPr>
              <w:t>-0.73</w:t>
            </w:r>
            <w:r w:rsidR="00E23FB9">
              <w:rPr>
                <w:b/>
              </w:rPr>
              <w:t>*</w:t>
            </w:r>
            <w:r w:rsidRPr="00D208CF">
              <w:rPr>
                <w:b/>
              </w:rPr>
              <w:br/>
              <w:t>(0.25)</w:t>
            </w:r>
          </w:p>
        </w:tc>
      </w:tr>
      <w:tr w:rsidR="00506C65" w:rsidRPr="00D208CF" w:rsidTr="000C2643">
        <w:tc>
          <w:tcPr>
            <w:tcW w:w="1511" w:type="pct"/>
            <w:vAlign w:val="center"/>
          </w:tcPr>
          <w:p w:rsidR="00506C65" w:rsidRPr="00D208CF" w:rsidRDefault="00506C65" w:rsidP="000C2643">
            <w:pPr>
              <w:widowControl w:val="0"/>
              <w:autoSpaceDE w:val="0"/>
              <w:autoSpaceDN w:val="0"/>
              <w:adjustRightInd w:val="0"/>
            </w:pPr>
            <w:r w:rsidRPr="00D208CF">
              <w:t>Enthusiasm condition</w:t>
            </w:r>
          </w:p>
        </w:tc>
        <w:tc>
          <w:tcPr>
            <w:tcW w:w="1163" w:type="pct"/>
          </w:tcPr>
          <w:p w:rsidR="00506C65" w:rsidRPr="00D208CF" w:rsidRDefault="00506C65" w:rsidP="000C2643">
            <w:pPr>
              <w:widowControl w:val="0"/>
              <w:autoSpaceDE w:val="0"/>
              <w:autoSpaceDN w:val="0"/>
              <w:adjustRightInd w:val="0"/>
              <w:jc w:val="center"/>
            </w:pPr>
            <w:r w:rsidRPr="00D208CF">
              <w:t>0.03</w:t>
            </w:r>
            <w:r w:rsidRPr="00D208CF">
              <w:br/>
              <w:t>(0.29)</w:t>
            </w:r>
          </w:p>
        </w:tc>
        <w:tc>
          <w:tcPr>
            <w:tcW w:w="1163" w:type="pct"/>
          </w:tcPr>
          <w:p w:rsidR="00506C65" w:rsidRPr="00D208CF" w:rsidRDefault="00506C65" w:rsidP="000C2643">
            <w:pPr>
              <w:widowControl w:val="0"/>
              <w:autoSpaceDE w:val="0"/>
              <w:autoSpaceDN w:val="0"/>
              <w:adjustRightInd w:val="0"/>
              <w:jc w:val="center"/>
            </w:pPr>
            <w:r w:rsidRPr="00D208CF">
              <w:t>0.18</w:t>
            </w:r>
            <w:r w:rsidRPr="00D208CF">
              <w:br/>
              <w:t>(0.31)</w:t>
            </w:r>
          </w:p>
        </w:tc>
        <w:tc>
          <w:tcPr>
            <w:tcW w:w="1163" w:type="pct"/>
          </w:tcPr>
          <w:p w:rsidR="00506C65" w:rsidRPr="00D208CF" w:rsidRDefault="00506C65" w:rsidP="000C2643">
            <w:pPr>
              <w:widowControl w:val="0"/>
              <w:autoSpaceDE w:val="0"/>
              <w:autoSpaceDN w:val="0"/>
              <w:adjustRightInd w:val="0"/>
              <w:jc w:val="center"/>
            </w:pPr>
            <w:r w:rsidRPr="00D208CF">
              <w:t>0.06</w:t>
            </w:r>
            <w:r w:rsidRPr="00D208CF">
              <w:br/>
              <w:t>(0.28)</w:t>
            </w:r>
          </w:p>
        </w:tc>
      </w:tr>
      <w:tr w:rsidR="00506C65" w:rsidRPr="00D208CF" w:rsidTr="000C2643">
        <w:tc>
          <w:tcPr>
            <w:tcW w:w="1511" w:type="pct"/>
            <w:vAlign w:val="center"/>
          </w:tcPr>
          <w:p w:rsidR="00506C65" w:rsidRPr="00D208CF" w:rsidRDefault="00506C65" w:rsidP="000C2643">
            <w:pPr>
              <w:widowControl w:val="0"/>
              <w:autoSpaceDE w:val="0"/>
              <w:autoSpaceDN w:val="0"/>
              <w:adjustRightInd w:val="0"/>
            </w:pPr>
            <w:r>
              <w:t>Symbolic racism  (SR)</w:t>
            </w:r>
          </w:p>
        </w:tc>
        <w:tc>
          <w:tcPr>
            <w:tcW w:w="1163" w:type="pct"/>
          </w:tcPr>
          <w:p w:rsidR="00506C65" w:rsidRPr="00D208CF" w:rsidRDefault="00506C65" w:rsidP="000C2643">
            <w:pPr>
              <w:widowControl w:val="0"/>
              <w:autoSpaceDE w:val="0"/>
              <w:autoSpaceDN w:val="0"/>
              <w:adjustRightInd w:val="0"/>
              <w:jc w:val="center"/>
              <w:rPr>
                <w:b/>
              </w:rPr>
            </w:pPr>
            <w:r w:rsidRPr="00D208CF">
              <w:rPr>
                <w:b/>
              </w:rPr>
              <w:t>1.94</w:t>
            </w:r>
            <w:r w:rsidR="00E23FB9">
              <w:rPr>
                <w:b/>
              </w:rPr>
              <w:t>*</w:t>
            </w:r>
            <w:r w:rsidRPr="00D208CF">
              <w:rPr>
                <w:b/>
              </w:rPr>
              <w:br/>
              <w:t>(0.27)</w:t>
            </w:r>
          </w:p>
        </w:tc>
        <w:tc>
          <w:tcPr>
            <w:tcW w:w="1163" w:type="pct"/>
          </w:tcPr>
          <w:p w:rsidR="00506C65" w:rsidRPr="00D208CF" w:rsidRDefault="00506C65" w:rsidP="000C2643">
            <w:pPr>
              <w:widowControl w:val="0"/>
              <w:autoSpaceDE w:val="0"/>
              <w:autoSpaceDN w:val="0"/>
              <w:adjustRightInd w:val="0"/>
              <w:jc w:val="center"/>
              <w:rPr>
                <w:b/>
              </w:rPr>
            </w:pPr>
            <w:r w:rsidRPr="00D208CF">
              <w:rPr>
                <w:b/>
              </w:rPr>
              <w:t>2.05</w:t>
            </w:r>
            <w:r w:rsidR="00E23FB9">
              <w:rPr>
                <w:b/>
              </w:rPr>
              <w:t>*</w:t>
            </w:r>
            <w:r w:rsidRPr="00D208CF">
              <w:rPr>
                <w:b/>
              </w:rPr>
              <w:br/>
              <w:t>(0.25)</w:t>
            </w:r>
          </w:p>
        </w:tc>
        <w:tc>
          <w:tcPr>
            <w:tcW w:w="1163" w:type="pct"/>
          </w:tcPr>
          <w:p w:rsidR="00506C65" w:rsidRPr="00D208CF" w:rsidRDefault="00506C65" w:rsidP="000C2643">
            <w:pPr>
              <w:widowControl w:val="0"/>
              <w:autoSpaceDE w:val="0"/>
              <w:autoSpaceDN w:val="0"/>
              <w:adjustRightInd w:val="0"/>
              <w:jc w:val="center"/>
              <w:rPr>
                <w:b/>
              </w:rPr>
            </w:pPr>
            <w:r w:rsidRPr="00D208CF">
              <w:rPr>
                <w:b/>
              </w:rPr>
              <w:t>2.06</w:t>
            </w:r>
            <w:r w:rsidR="00E23FB9">
              <w:rPr>
                <w:b/>
              </w:rPr>
              <w:t>*</w:t>
            </w:r>
            <w:r w:rsidRPr="00D208CF">
              <w:rPr>
                <w:b/>
              </w:rPr>
              <w:br/>
              <w:t>(0.26)</w:t>
            </w:r>
          </w:p>
        </w:tc>
      </w:tr>
      <w:tr w:rsidR="00506C65" w:rsidRPr="00D208CF" w:rsidTr="000C2643">
        <w:tc>
          <w:tcPr>
            <w:tcW w:w="1511" w:type="pct"/>
            <w:vAlign w:val="center"/>
          </w:tcPr>
          <w:p w:rsidR="00506C65" w:rsidRPr="00D208CF" w:rsidRDefault="00506C65" w:rsidP="000C2643">
            <w:pPr>
              <w:widowControl w:val="0"/>
              <w:autoSpaceDE w:val="0"/>
              <w:autoSpaceDN w:val="0"/>
              <w:adjustRightInd w:val="0"/>
            </w:pPr>
            <w:r w:rsidRPr="00D208CF">
              <w:t>Constant</w:t>
            </w:r>
          </w:p>
        </w:tc>
        <w:tc>
          <w:tcPr>
            <w:tcW w:w="1163" w:type="pct"/>
          </w:tcPr>
          <w:p w:rsidR="00506C65" w:rsidRPr="00D208CF" w:rsidRDefault="00506C65" w:rsidP="000C2643">
            <w:pPr>
              <w:widowControl w:val="0"/>
              <w:autoSpaceDE w:val="0"/>
              <w:autoSpaceDN w:val="0"/>
              <w:adjustRightInd w:val="0"/>
              <w:jc w:val="center"/>
              <w:rPr>
                <w:b/>
              </w:rPr>
            </w:pPr>
            <w:r w:rsidRPr="00D208CF">
              <w:rPr>
                <w:b/>
              </w:rPr>
              <w:t>-1.22</w:t>
            </w:r>
            <w:r w:rsidR="00E23FB9">
              <w:rPr>
                <w:b/>
              </w:rPr>
              <w:t>*</w:t>
            </w:r>
            <w:r w:rsidRPr="00D208CF">
              <w:rPr>
                <w:b/>
              </w:rPr>
              <w:br/>
              <w:t>(0.18)</w:t>
            </w:r>
          </w:p>
        </w:tc>
        <w:tc>
          <w:tcPr>
            <w:tcW w:w="1163" w:type="pct"/>
          </w:tcPr>
          <w:p w:rsidR="00506C65" w:rsidRPr="00D208CF" w:rsidRDefault="00506C65" w:rsidP="000C2643">
            <w:pPr>
              <w:widowControl w:val="0"/>
              <w:autoSpaceDE w:val="0"/>
              <w:autoSpaceDN w:val="0"/>
              <w:adjustRightInd w:val="0"/>
              <w:jc w:val="center"/>
              <w:rPr>
                <w:b/>
              </w:rPr>
            </w:pPr>
            <w:r w:rsidRPr="00D208CF">
              <w:rPr>
                <w:b/>
              </w:rPr>
              <w:t>-1.31</w:t>
            </w:r>
            <w:r w:rsidR="00E23FB9">
              <w:rPr>
                <w:b/>
              </w:rPr>
              <w:t>*</w:t>
            </w:r>
            <w:r w:rsidRPr="00D208CF">
              <w:rPr>
                <w:b/>
              </w:rPr>
              <w:br/>
              <w:t>(0.17)</w:t>
            </w:r>
          </w:p>
        </w:tc>
        <w:tc>
          <w:tcPr>
            <w:tcW w:w="1163" w:type="pct"/>
          </w:tcPr>
          <w:p w:rsidR="00506C65" w:rsidRPr="00D208CF" w:rsidRDefault="00506C65" w:rsidP="000C2643">
            <w:pPr>
              <w:widowControl w:val="0"/>
              <w:autoSpaceDE w:val="0"/>
              <w:autoSpaceDN w:val="0"/>
              <w:adjustRightInd w:val="0"/>
              <w:jc w:val="center"/>
              <w:rPr>
                <w:b/>
              </w:rPr>
            </w:pPr>
            <w:r w:rsidRPr="00D208CF">
              <w:rPr>
                <w:b/>
              </w:rPr>
              <w:t>-1.31</w:t>
            </w:r>
            <w:r w:rsidR="00E23FB9">
              <w:rPr>
                <w:b/>
              </w:rPr>
              <w:t>*</w:t>
            </w:r>
            <w:r w:rsidRPr="00D208CF">
              <w:rPr>
                <w:b/>
              </w:rPr>
              <w:br/>
              <w:t>(0.17)</w:t>
            </w:r>
          </w:p>
        </w:tc>
      </w:tr>
      <w:tr w:rsidR="00506C65" w:rsidRPr="00D208CF" w:rsidTr="000C2643">
        <w:tc>
          <w:tcPr>
            <w:tcW w:w="1511" w:type="pct"/>
            <w:vAlign w:val="center"/>
          </w:tcPr>
          <w:p w:rsidR="00506C65" w:rsidRPr="00D208CF" w:rsidRDefault="00506C65" w:rsidP="000C2643">
            <w:pPr>
              <w:widowControl w:val="0"/>
              <w:autoSpaceDE w:val="0"/>
              <w:autoSpaceDN w:val="0"/>
              <w:adjustRightInd w:val="0"/>
            </w:pPr>
            <w:r w:rsidRPr="00D208CF">
              <w:t>Observations</w:t>
            </w:r>
          </w:p>
        </w:tc>
        <w:tc>
          <w:tcPr>
            <w:tcW w:w="1163" w:type="pct"/>
          </w:tcPr>
          <w:p w:rsidR="00506C65" w:rsidRPr="00D208CF" w:rsidRDefault="00506C65" w:rsidP="000C2643">
            <w:pPr>
              <w:widowControl w:val="0"/>
              <w:autoSpaceDE w:val="0"/>
              <w:autoSpaceDN w:val="0"/>
              <w:adjustRightInd w:val="0"/>
              <w:jc w:val="center"/>
            </w:pPr>
            <w:r w:rsidRPr="00D208CF">
              <w:t>959</w:t>
            </w:r>
          </w:p>
        </w:tc>
        <w:tc>
          <w:tcPr>
            <w:tcW w:w="1163" w:type="pct"/>
          </w:tcPr>
          <w:p w:rsidR="00506C65" w:rsidRPr="00D208CF" w:rsidRDefault="00506C65" w:rsidP="000C2643">
            <w:pPr>
              <w:widowControl w:val="0"/>
              <w:autoSpaceDE w:val="0"/>
              <w:autoSpaceDN w:val="0"/>
              <w:adjustRightInd w:val="0"/>
              <w:jc w:val="center"/>
            </w:pPr>
            <w:r w:rsidRPr="00D208CF">
              <w:t>956</w:t>
            </w:r>
          </w:p>
        </w:tc>
        <w:tc>
          <w:tcPr>
            <w:tcW w:w="1163" w:type="pct"/>
          </w:tcPr>
          <w:p w:rsidR="00506C65" w:rsidRPr="00D208CF" w:rsidRDefault="00506C65" w:rsidP="000C2643">
            <w:pPr>
              <w:widowControl w:val="0"/>
              <w:autoSpaceDE w:val="0"/>
              <w:autoSpaceDN w:val="0"/>
              <w:adjustRightInd w:val="0"/>
              <w:jc w:val="center"/>
            </w:pPr>
            <w:r w:rsidRPr="00D208CF">
              <w:t>953</w:t>
            </w:r>
          </w:p>
        </w:tc>
      </w:tr>
    </w:tbl>
    <w:p w:rsidR="00506C65" w:rsidRDefault="00506C65" w:rsidP="00506C65">
      <w:pPr>
        <w:jc w:val="both"/>
      </w:pPr>
    </w:p>
    <w:p w:rsidR="00506C65" w:rsidRDefault="00506C65" w:rsidP="00506C65">
      <w:r>
        <w:t xml:space="preserve">Note: </w:t>
      </w:r>
      <w:r w:rsidRPr="0099156B">
        <w:t xml:space="preserve">Numeric cell entries are coefficients, with </w:t>
      </w:r>
      <w:r>
        <w:t xml:space="preserve">standard errors in parentheses. </w:t>
      </w:r>
      <w:r w:rsidRPr="0099156B">
        <w:t xml:space="preserve">Boldface </w:t>
      </w:r>
      <w:r w:rsidR="00E23FB9">
        <w:t xml:space="preserve">and asterisk </w:t>
      </w:r>
      <w:r w:rsidRPr="0099156B">
        <w:t>indicate st</w:t>
      </w:r>
      <w:r>
        <w:t>atistical significance at the p&lt;0.05</w:t>
      </w:r>
      <w:r w:rsidRPr="0099156B">
        <w:t xml:space="preserve"> level </w:t>
      </w:r>
      <w:r>
        <w:t>(two-tailed test).</w:t>
      </w:r>
    </w:p>
    <w:p w:rsidR="00506C65" w:rsidRDefault="00506C65" w:rsidP="003725AB"/>
    <w:p w:rsidR="00506C65" w:rsidRDefault="00506C65" w:rsidP="003725AB"/>
    <w:p w:rsidR="00506C65" w:rsidRDefault="00506C65">
      <w:pPr>
        <w:rPr>
          <w:b/>
        </w:rPr>
      </w:pPr>
      <w:r>
        <w:rPr>
          <w:b/>
        </w:rPr>
        <w:br w:type="page"/>
      </w:r>
    </w:p>
    <w:p w:rsidR="00506C65" w:rsidRDefault="00506C65">
      <w:pPr>
        <w:rPr>
          <w:b/>
        </w:rPr>
      </w:pPr>
    </w:p>
    <w:p w:rsidR="00506C65" w:rsidRDefault="000D02E4" w:rsidP="00506C65">
      <w:pPr>
        <w:jc w:val="both"/>
      </w:pPr>
      <w:r>
        <w:rPr>
          <w:noProof/>
        </w:rPr>
        <w:drawing>
          <wp:inline distT="0" distB="0" distL="0" distR="0">
            <wp:extent cx="5943600" cy="5451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451885"/>
                    </a:xfrm>
                    <a:prstGeom prst="rect">
                      <a:avLst/>
                    </a:prstGeom>
                    <a:noFill/>
                    <a:ln>
                      <a:noFill/>
                    </a:ln>
                  </pic:spPr>
                </pic:pic>
              </a:graphicData>
            </a:graphic>
          </wp:inline>
        </w:drawing>
      </w:r>
    </w:p>
    <w:p w:rsidR="00506C65" w:rsidRDefault="00506C65" w:rsidP="00506C65">
      <w:pPr>
        <w:jc w:val="both"/>
      </w:pPr>
    </w:p>
    <w:p w:rsidR="00506C65" w:rsidRPr="0099156B" w:rsidRDefault="00506C65" w:rsidP="00506C65">
      <w:pPr>
        <w:jc w:val="center"/>
        <w:rPr>
          <w:b/>
        </w:rPr>
      </w:pPr>
      <w:proofErr w:type="gramStart"/>
      <w:r w:rsidRPr="0099156B">
        <w:rPr>
          <w:b/>
        </w:rPr>
        <w:t>Figure 1.</w:t>
      </w:r>
      <w:proofErr w:type="gramEnd"/>
      <w:r w:rsidRPr="0099156B">
        <w:rPr>
          <w:b/>
        </w:rPr>
        <w:t xml:space="preserve"> Influence of Emotions on the Effect of </w:t>
      </w:r>
      <w:r w:rsidRPr="007A4BE7">
        <w:rPr>
          <w:b/>
        </w:rPr>
        <w:t>Symbolic Racism</w:t>
      </w:r>
      <w:r>
        <w:t xml:space="preserve"> </w:t>
      </w:r>
    </w:p>
    <w:p w:rsidR="00506C65" w:rsidRDefault="00506C65" w:rsidP="00506C65">
      <w:r>
        <w:t>Note: The black dashed line in each g</w:t>
      </w:r>
      <w:r w:rsidR="000D02E4">
        <w:t xml:space="preserve">raph indicates the relaxed condition. Lines in the figure are based on </w:t>
      </w:r>
      <w:r w:rsidR="0024407E">
        <w:t xml:space="preserve">Model </w:t>
      </w:r>
      <w:r w:rsidR="000D02E4">
        <w:t xml:space="preserve">3 in Table 1 (top row), </w:t>
      </w:r>
      <w:r w:rsidR="0024407E">
        <w:t xml:space="preserve">Model </w:t>
      </w:r>
      <w:r w:rsidR="000D02E4">
        <w:t xml:space="preserve">6 in Table 2 (middle row), and </w:t>
      </w:r>
      <w:r w:rsidR="0024407E">
        <w:t xml:space="preserve">Model </w:t>
      </w:r>
      <w:r w:rsidR="000D02E4">
        <w:t>9 in Table 3 (bottom row).</w:t>
      </w:r>
    </w:p>
    <w:p w:rsidR="00506C65" w:rsidRDefault="00506C65">
      <w:pPr>
        <w:rPr>
          <w:b/>
        </w:rPr>
      </w:pPr>
    </w:p>
    <w:p w:rsidR="00506C65" w:rsidRDefault="00506C65">
      <w:pPr>
        <w:rPr>
          <w:b/>
        </w:rPr>
      </w:pPr>
      <w:r>
        <w:rPr>
          <w:b/>
        </w:rPr>
        <w:br w:type="page"/>
      </w:r>
    </w:p>
    <w:p w:rsidR="00506C65" w:rsidRPr="0099156B" w:rsidRDefault="00506C65" w:rsidP="00506C65">
      <w:pPr>
        <w:jc w:val="center"/>
        <w:rPr>
          <w:b/>
        </w:rPr>
      </w:pPr>
      <w:proofErr w:type="gramStart"/>
      <w:r>
        <w:rPr>
          <w:b/>
        </w:rPr>
        <w:lastRenderedPageBreak/>
        <w:t>Table 2</w:t>
      </w:r>
      <w:r w:rsidRPr="0099156B">
        <w:rPr>
          <w:b/>
        </w:rPr>
        <w:t>.</w:t>
      </w:r>
      <w:proofErr w:type="gramEnd"/>
      <w:r w:rsidRPr="0099156B">
        <w:rPr>
          <w:b/>
        </w:rPr>
        <w:t xml:space="preserve"> Influence of Emotions on the Effect of </w:t>
      </w:r>
      <w:r>
        <w:rPr>
          <w:b/>
        </w:rPr>
        <w:t>Support for Limited Government</w:t>
      </w:r>
    </w:p>
    <w:p w:rsidR="00506C65" w:rsidRDefault="00506C65" w:rsidP="00506C65">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2227"/>
        <w:gridCol w:w="2227"/>
        <w:gridCol w:w="2224"/>
      </w:tblGrid>
      <w:tr w:rsidR="00506C65" w:rsidRPr="000F42DA" w:rsidTr="000C2643">
        <w:tc>
          <w:tcPr>
            <w:tcW w:w="1513" w:type="pct"/>
          </w:tcPr>
          <w:p w:rsidR="00506C65" w:rsidRPr="000F42DA" w:rsidRDefault="00506C65" w:rsidP="000C2643">
            <w:pPr>
              <w:widowControl w:val="0"/>
              <w:autoSpaceDE w:val="0"/>
              <w:autoSpaceDN w:val="0"/>
              <w:adjustRightInd w:val="0"/>
            </w:pPr>
          </w:p>
        </w:tc>
        <w:tc>
          <w:tcPr>
            <w:tcW w:w="1163" w:type="pct"/>
          </w:tcPr>
          <w:p w:rsidR="00506C65" w:rsidRPr="000F42DA" w:rsidRDefault="00506C65" w:rsidP="000C2643">
            <w:pPr>
              <w:widowControl w:val="0"/>
              <w:autoSpaceDE w:val="0"/>
              <w:autoSpaceDN w:val="0"/>
              <w:adjustRightInd w:val="0"/>
              <w:jc w:val="center"/>
            </w:pPr>
            <w:r w:rsidRPr="000F42DA">
              <w:t>4</w:t>
            </w:r>
          </w:p>
        </w:tc>
        <w:tc>
          <w:tcPr>
            <w:tcW w:w="1163" w:type="pct"/>
          </w:tcPr>
          <w:p w:rsidR="00506C65" w:rsidRPr="000F42DA" w:rsidRDefault="00506C65" w:rsidP="000C2643">
            <w:pPr>
              <w:widowControl w:val="0"/>
              <w:autoSpaceDE w:val="0"/>
              <w:autoSpaceDN w:val="0"/>
              <w:adjustRightInd w:val="0"/>
              <w:jc w:val="center"/>
            </w:pPr>
            <w:r w:rsidRPr="000F42DA">
              <w:t>5</w:t>
            </w:r>
          </w:p>
        </w:tc>
        <w:tc>
          <w:tcPr>
            <w:tcW w:w="1161" w:type="pct"/>
          </w:tcPr>
          <w:p w:rsidR="00506C65" w:rsidRPr="000F42DA" w:rsidRDefault="00506C65" w:rsidP="000C2643">
            <w:pPr>
              <w:widowControl w:val="0"/>
              <w:autoSpaceDE w:val="0"/>
              <w:autoSpaceDN w:val="0"/>
              <w:adjustRightInd w:val="0"/>
              <w:jc w:val="center"/>
            </w:pPr>
            <w:r w:rsidRPr="000F42DA">
              <w:t>6</w:t>
            </w:r>
          </w:p>
        </w:tc>
      </w:tr>
      <w:tr w:rsidR="00506C65" w:rsidRPr="000F42DA" w:rsidTr="000C2643">
        <w:tc>
          <w:tcPr>
            <w:tcW w:w="1513" w:type="pct"/>
          </w:tcPr>
          <w:p w:rsidR="00506C65" w:rsidRPr="000F42DA" w:rsidRDefault="00506C65" w:rsidP="000C2643">
            <w:pPr>
              <w:widowControl w:val="0"/>
              <w:autoSpaceDE w:val="0"/>
              <w:autoSpaceDN w:val="0"/>
              <w:adjustRightInd w:val="0"/>
            </w:pPr>
          </w:p>
        </w:tc>
        <w:tc>
          <w:tcPr>
            <w:tcW w:w="1163" w:type="pct"/>
            <w:vAlign w:val="center"/>
          </w:tcPr>
          <w:p w:rsidR="00506C65" w:rsidRPr="000F42DA" w:rsidRDefault="003A407B" w:rsidP="003A407B">
            <w:pPr>
              <w:widowControl w:val="0"/>
              <w:autoSpaceDE w:val="0"/>
              <w:autoSpaceDN w:val="0"/>
              <w:adjustRightInd w:val="0"/>
              <w:jc w:val="center"/>
            </w:pPr>
            <w:r>
              <w:t>Disapproval of</w:t>
            </w:r>
            <w:r w:rsidR="00506C65" w:rsidRPr="000F42DA">
              <w:t xml:space="preserve"> the way Barack Obama is handling health care</w:t>
            </w:r>
          </w:p>
        </w:tc>
        <w:tc>
          <w:tcPr>
            <w:tcW w:w="1163" w:type="pct"/>
            <w:vAlign w:val="center"/>
          </w:tcPr>
          <w:p w:rsidR="00506C65" w:rsidRPr="000F42DA" w:rsidRDefault="00506C65" w:rsidP="000C2643">
            <w:pPr>
              <w:widowControl w:val="0"/>
              <w:autoSpaceDE w:val="0"/>
              <w:autoSpaceDN w:val="0"/>
              <w:adjustRightInd w:val="0"/>
              <w:jc w:val="center"/>
            </w:pPr>
            <w:r w:rsidRPr="000F42DA">
              <w:t>Opposition to Barack Obama and the Democrats' Health Care reform bill</w:t>
            </w:r>
          </w:p>
        </w:tc>
        <w:tc>
          <w:tcPr>
            <w:tcW w:w="1161" w:type="pct"/>
            <w:vAlign w:val="center"/>
          </w:tcPr>
          <w:p w:rsidR="00506C65" w:rsidRPr="000F42DA" w:rsidRDefault="00506C65" w:rsidP="003A407B">
            <w:pPr>
              <w:widowControl w:val="0"/>
              <w:autoSpaceDE w:val="0"/>
              <w:autoSpaceDN w:val="0"/>
              <w:adjustRightInd w:val="0"/>
              <w:jc w:val="center"/>
            </w:pPr>
            <w:r w:rsidRPr="000F42DA">
              <w:t>Negative views o</w:t>
            </w:r>
            <w:r w:rsidR="003A407B">
              <w:t>f</w:t>
            </w:r>
            <w:r w:rsidRPr="000F42DA">
              <w:t xml:space="preserve"> the health care reform bill opinions scale</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rsidRPr="000F42DA">
              <w:t>LG x Anger</w:t>
            </w:r>
          </w:p>
        </w:tc>
        <w:tc>
          <w:tcPr>
            <w:tcW w:w="1163" w:type="pct"/>
          </w:tcPr>
          <w:p w:rsidR="00506C65" w:rsidRPr="000F42DA" w:rsidRDefault="00506C65" w:rsidP="000C2643">
            <w:pPr>
              <w:widowControl w:val="0"/>
              <w:autoSpaceDE w:val="0"/>
              <w:autoSpaceDN w:val="0"/>
              <w:adjustRightInd w:val="0"/>
              <w:jc w:val="center"/>
            </w:pPr>
            <w:r w:rsidRPr="000F42DA">
              <w:t>-0.17</w:t>
            </w:r>
            <w:r w:rsidRPr="000F42DA">
              <w:br/>
              <w:t>(0.30)</w:t>
            </w:r>
          </w:p>
        </w:tc>
        <w:tc>
          <w:tcPr>
            <w:tcW w:w="1163" w:type="pct"/>
          </w:tcPr>
          <w:p w:rsidR="00506C65" w:rsidRPr="000F42DA" w:rsidRDefault="00506C65" w:rsidP="000C2643">
            <w:pPr>
              <w:widowControl w:val="0"/>
              <w:autoSpaceDE w:val="0"/>
              <w:autoSpaceDN w:val="0"/>
              <w:adjustRightInd w:val="0"/>
              <w:jc w:val="center"/>
            </w:pPr>
            <w:r w:rsidRPr="000F42DA">
              <w:t>-0.15</w:t>
            </w:r>
            <w:r w:rsidRPr="000F42DA">
              <w:br/>
              <w:t>(0.26)</w:t>
            </w:r>
          </w:p>
        </w:tc>
        <w:tc>
          <w:tcPr>
            <w:tcW w:w="1161" w:type="pct"/>
          </w:tcPr>
          <w:p w:rsidR="00506C65" w:rsidRPr="000F42DA" w:rsidRDefault="00506C65" w:rsidP="000C2643">
            <w:pPr>
              <w:widowControl w:val="0"/>
              <w:autoSpaceDE w:val="0"/>
              <w:autoSpaceDN w:val="0"/>
              <w:adjustRightInd w:val="0"/>
              <w:jc w:val="center"/>
            </w:pPr>
            <w:r w:rsidRPr="000F42DA">
              <w:t>-0.16</w:t>
            </w:r>
            <w:r w:rsidRPr="000F42DA">
              <w:br/>
              <w:t>(0.27)</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rsidRPr="000F42DA">
              <w:t>LG x Fear</w:t>
            </w:r>
          </w:p>
        </w:tc>
        <w:tc>
          <w:tcPr>
            <w:tcW w:w="1163" w:type="pct"/>
          </w:tcPr>
          <w:p w:rsidR="00506C65" w:rsidRPr="000F42DA" w:rsidRDefault="00506C65" w:rsidP="000C2643">
            <w:pPr>
              <w:widowControl w:val="0"/>
              <w:autoSpaceDE w:val="0"/>
              <w:autoSpaceDN w:val="0"/>
              <w:adjustRightInd w:val="0"/>
              <w:jc w:val="center"/>
            </w:pPr>
            <w:r w:rsidRPr="000F42DA">
              <w:t>0.25</w:t>
            </w:r>
            <w:r w:rsidRPr="000F42DA">
              <w:br/>
              <w:t>(0.26)</w:t>
            </w:r>
          </w:p>
        </w:tc>
        <w:tc>
          <w:tcPr>
            <w:tcW w:w="1163" w:type="pct"/>
          </w:tcPr>
          <w:p w:rsidR="00506C65" w:rsidRPr="000F42DA" w:rsidRDefault="00506C65" w:rsidP="000C2643">
            <w:pPr>
              <w:widowControl w:val="0"/>
              <w:autoSpaceDE w:val="0"/>
              <w:autoSpaceDN w:val="0"/>
              <w:adjustRightInd w:val="0"/>
              <w:jc w:val="center"/>
            </w:pPr>
            <w:r w:rsidRPr="000F42DA">
              <w:t>0.25</w:t>
            </w:r>
            <w:r w:rsidRPr="000F42DA">
              <w:br/>
              <w:t>(0.25)</w:t>
            </w:r>
          </w:p>
        </w:tc>
        <w:tc>
          <w:tcPr>
            <w:tcW w:w="1161" w:type="pct"/>
          </w:tcPr>
          <w:p w:rsidR="00506C65" w:rsidRPr="000F42DA" w:rsidRDefault="00506C65" w:rsidP="000C2643">
            <w:pPr>
              <w:widowControl w:val="0"/>
              <w:autoSpaceDE w:val="0"/>
              <w:autoSpaceDN w:val="0"/>
              <w:adjustRightInd w:val="0"/>
              <w:jc w:val="center"/>
            </w:pPr>
            <w:r w:rsidRPr="000F42DA">
              <w:t>0.28</w:t>
            </w:r>
            <w:r w:rsidRPr="000F42DA">
              <w:br/>
              <w:t>(0.24)</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rsidRPr="000F42DA">
              <w:t>LG x Enthusiasm</w:t>
            </w:r>
          </w:p>
        </w:tc>
        <w:tc>
          <w:tcPr>
            <w:tcW w:w="1163" w:type="pct"/>
          </w:tcPr>
          <w:p w:rsidR="00506C65" w:rsidRPr="000F42DA" w:rsidRDefault="00506C65" w:rsidP="000C2643">
            <w:pPr>
              <w:widowControl w:val="0"/>
              <w:autoSpaceDE w:val="0"/>
              <w:autoSpaceDN w:val="0"/>
              <w:adjustRightInd w:val="0"/>
              <w:jc w:val="center"/>
            </w:pPr>
            <w:r w:rsidRPr="000F42DA">
              <w:t>-0.34</w:t>
            </w:r>
            <w:r w:rsidRPr="000F42DA">
              <w:br/>
              <w:t>(0.32)</w:t>
            </w:r>
          </w:p>
        </w:tc>
        <w:tc>
          <w:tcPr>
            <w:tcW w:w="1163" w:type="pct"/>
          </w:tcPr>
          <w:p w:rsidR="00506C65" w:rsidRPr="000F42DA" w:rsidRDefault="00506C65" w:rsidP="000C2643">
            <w:pPr>
              <w:widowControl w:val="0"/>
              <w:autoSpaceDE w:val="0"/>
              <w:autoSpaceDN w:val="0"/>
              <w:adjustRightInd w:val="0"/>
              <w:jc w:val="center"/>
            </w:pPr>
            <w:r w:rsidRPr="000F42DA">
              <w:t>-0.38</w:t>
            </w:r>
            <w:r w:rsidRPr="000F42DA">
              <w:br/>
              <w:t>(0.32)</w:t>
            </w:r>
          </w:p>
        </w:tc>
        <w:tc>
          <w:tcPr>
            <w:tcW w:w="1161" w:type="pct"/>
          </w:tcPr>
          <w:p w:rsidR="00506C65" w:rsidRPr="000F42DA" w:rsidRDefault="00506C65" w:rsidP="000C2643">
            <w:pPr>
              <w:widowControl w:val="0"/>
              <w:autoSpaceDE w:val="0"/>
              <w:autoSpaceDN w:val="0"/>
              <w:adjustRightInd w:val="0"/>
              <w:jc w:val="center"/>
            </w:pPr>
            <w:r w:rsidRPr="000F42DA">
              <w:t>-0.38</w:t>
            </w:r>
            <w:r w:rsidRPr="000F42DA">
              <w:br/>
              <w:t>(0.31)</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rsidRPr="000F42DA">
              <w:t>Anger condition</w:t>
            </w:r>
          </w:p>
        </w:tc>
        <w:tc>
          <w:tcPr>
            <w:tcW w:w="1163" w:type="pct"/>
          </w:tcPr>
          <w:p w:rsidR="00506C65" w:rsidRPr="000F42DA" w:rsidRDefault="00506C65" w:rsidP="000C2643">
            <w:pPr>
              <w:widowControl w:val="0"/>
              <w:autoSpaceDE w:val="0"/>
              <w:autoSpaceDN w:val="0"/>
              <w:adjustRightInd w:val="0"/>
              <w:jc w:val="center"/>
            </w:pPr>
            <w:r w:rsidRPr="000F42DA">
              <w:t>0.09</w:t>
            </w:r>
            <w:r w:rsidRPr="000F42DA">
              <w:br/>
              <w:t>(0.22)</w:t>
            </w:r>
          </w:p>
        </w:tc>
        <w:tc>
          <w:tcPr>
            <w:tcW w:w="1163" w:type="pct"/>
          </w:tcPr>
          <w:p w:rsidR="00506C65" w:rsidRPr="000F42DA" w:rsidRDefault="00506C65" w:rsidP="000C2643">
            <w:pPr>
              <w:widowControl w:val="0"/>
              <w:autoSpaceDE w:val="0"/>
              <w:autoSpaceDN w:val="0"/>
              <w:adjustRightInd w:val="0"/>
              <w:jc w:val="center"/>
            </w:pPr>
            <w:r w:rsidRPr="000F42DA">
              <w:t>0.09</w:t>
            </w:r>
            <w:r w:rsidRPr="000F42DA">
              <w:br/>
              <w:t>(0.21)</w:t>
            </w:r>
          </w:p>
        </w:tc>
        <w:tc>
          <w:tcPr>
            <w:tcW w:w="1161" w:type="pct"/>
          </w:tcPr>
          <w:p w:rsidR="00506C65" w:rsidRPr="000F42DA" w:rsidRDefault="00506C65" w:rsidP="000C2643">
            <w:pPr>
              <w:widowControl w:val="0"/>
              <w:autoSpaceDE w:val="0"/>
              <w:autoSpaceDN w:val="0"/>
              <w:adjustRightInd w:val="0"/>
              <w:jc w:val="center"/>
            </w:pPr>
            <w:r w:rsidRPr="000F42DA">
              <w:t>0.09</w:t>
            </w:r>
            <w:r w:rsidRPr="000F42DA">
              <w:br/>
              <w:t>(0.21)</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rsidRPr="000F42DA">
              <w:t>Fear condition</w:t>
            </w:r>
          </w:p>
        </w:tc>
        <w:tc>
          <w:tcPr>
            <w:tcW w:w="1163" w:type="pct"/>
          </w:tcPr>
          <w:p w:rsidR="00506C65" w:rsidRPr="000F42DA" w:rsidRDefault="00506C65" w:rsidP="000C2643">
            <w:pPr>
              <w:widowControl w:val="0"/>
              <w:autoSpaceDE w:val="0"/>
              <w:autoSpaceDN w:val="0"/>
              <w:adjustRightInd w:val="0"/>
              <w:jc w:val="center"/>
            </w:pPr>
            <w:r w:rsidRPr="000F42DA">
              <w:t>-0.28</w:t>
            </w:r>
            <w:r w:rsidRPr="000F42DA">
              <w:br/>
              <w:t>(0.20)</w:t>
            </w:r>
          </w:p>
        </w:tc>
        <w:tc>
          <w:tcPr>
            <w:tcW w:w="1163" w:type="pct"/>
          </w:tcPr>
          <w:p w:rsidR="00506C65" w:rsidRPr="000F42DA" w:rsidRDefault="00506C65" w:rsidP="000C2643">
            <w:pPr>
              <w:widowControl w:val="0"/>
              <w:autoSpaceDE w:val="0"/>
              <w:autoSpaceDN w:val="0"/>
              <w:adjustRightInd w:val="0"/>
              <w:jc w:val="center"/>
            </w:pPr>
            <w:r w:rsidRPr="000F42DA">
              <w:t>-0.29</w:t>
            </w:r>
            <w:r w:rsidRPr="000F42DA">
              <w:br/>
              <w:t>(0.20)</w:t>
            </w:r>
          </w:p>
        </w:tc>
        <w:tc>
          <w:tcPr>
            <w:tcW w:w="1161" w:type="pct"/>
          </w:tcPr>
          <w:p w:rsidR="00506C65" w:rsidRPr="000F42DA" w:rsidRDefault="00506C65" w:rsidP="000C2643">
            <w:pPr>
              <w:widowControl w:val="0"/>
              <w:autoSpaceDE w:val="0"/>
              <w:autoSpaceDN w:val="0"/>
              <w:adjustRightInd w:val="0"/>
              <w:jc w:val="center"/>
            </w:pPr>
            <w:r w:rsidRPr="000F42DA">
              <w:t>-0.30</w:t>
            </w:r>
            <w:r w:rsidRPr="000F42DA">
              <w:br/>
              <w:t>(0.19)</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rsidRPr="000F42DA">
              <w:t>Enthusiasm condition</w:t>
            </w:r>
          </w:p>
        </w:tc>
        <w:tc>
          <w:tcPr>
            <w:tcW w:w="1163" w:type="pct"/>
          </w:tcPr>
          <w:p w:rsidR="00506C65" w:rsidRPr="000F42DA" w:rsidRDefault="00506C65" w:rsidP="000C2643">
            <w:pPr>
              <w:widowControl w:val="0"/>
              <w:autoSpaceDE w:val="0"/>
              <w:autoSpaceDN w:val="0"/>
              <w:adjustRightInd w:val="0"/>
              <w:jc w:val="center"/>
            </w:pPr>
            <w:r w:rsidRPr="000F42DA">
              <w:t>0.15</w:t>
            </w:r>
            <w:r w:rsidRPr="000F42DA">
              <w:br/>
              <w:t>(0.24)</w:t>
            </w:r>
          </w:p>
        </w:tc>
        <w:tc>
          <w:tcPr>
            <w:tcW w:w="1163" w:type="pct"/>
          </w:tcPr>
          <w:p w:rsidR="00506C65" w:rsidRPr="000F42DA" w:rsidRDefault="00506C65" w:rsidP="000C2643">
            <w:pPr>
              <w:widowControl w:val="0"/>
              <w:autoSpaceDE w:val="0"/>
              <w:autoSpaceDN w:val="0"/>
              <w:adjustRightInd w:val="0"/>
              <w:jc w:val="center"/>
            </w:pPr>
            <w:r w:rsidRPr="000F42DA">
              <w:t>0.21</w:t>
            </w:r>
            <w:r w:rsidRPr="000F42DA">
              <w:br/>
              <w:t>(0.24)</w:t>
            </w:r>
          </w:p>
        </w:tc>
        <w:tc>
          <w:tcPr>
            <w:tcW w:w="1161" w:type="pct"/>
          </w:tcPr>
          <w:p w:rsidR="00506C65" w:rsidRPr="000F42DA" w:rsidRDefault="00506C65" w:rsidP="000C2643">
            <w:pPr>
              <w:widowControl w:val="0"/>
              <w:autoSpaceDE w:val="0"/>
              <w:autoSpaceDN w:val="0"/>
              <w:adjustRightInd w:val="0"/>
              <w:jc w:val="center"/>
            </w:pPr>
            <w:r w:rsidRPr="000F42DA">
              <w:t>0.19</w:t>
            </w:r>
            <w:r w:rsidRPr="000F42DA">
              <w:br/>
              <w:t>(0.24)</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rsidRPr="000F42DA">
              <w:t>Support for limited gov</w:t>
            </w:r>
            <w:r>
              <w:t>ernment   (LG</w:t>
            </w:r>
            <w:r w:rsidRPr="000F42DA">
              <w:t>)</w:t>
            </w:r>
          </w:p>
        </w:tc>
        <w:tc>
          <w:tcPr>
            <w:tcW w:w="1163" w:type="pct"/>
          </w:tcPr>
          <w:p w:rsidR="00506C65" w:rsidRPr="000F42DA" w:rsidRDefault="00506C65" w:rsidP="000C2643">
            <w:pPr>
              <w:widowControl w:val="0"/>
              <w:autoSpaceDE w:val="0"/>
              <w:autoSpaceDN w:val="0"/>
              <w:adjustRightInd w:val="0"/>
              <w:jc w:val="center"/>
              <w:rPr>
                <w:b/>
              </w:rPr>
            </w:pPr>
            <w:r w:rsidRPr="000F42DA">
              <w:rPr>
                <w:b/>
              </w:rPr>
              <w:t>2.11</w:t>
            </w:r>
            <w:r w:rsidR="00E23FB9">
              <w:rPr>
                <w:b/>
              </w:rPr>
              <w:t>*</w:t>
            </w:r>
            <w:r w:rsidRPr="000F42DA">
              <w:rPr>
                <w:b/>
              </w:rPr>
              <w:br/>
              <w:t>(0.18)</w:t>
            </w:r>
          </w:p>
        </w:tc>
        <w:tc>
          <w:tcPr>
            <w:tcW w:w="1163" w:type="pct"/>
          </w:tcPr>
          <w:p w:rsidR="00506C65" w:rsidRPr="000F42DA" w:rsidRDefault="00506C65" w:rsidP="000C2643">
            <w:pPr>
              <w:widowControl w:val="0"/>
              <w:autoSpaceDE w:val="0"/>
              <w:autoSpaceDN w:val="0"/>
              <w:adjustRightInd w:val="0"/>
              <w:jc w:val="center"/>
              <w:rPr>
                <w:b/>
              </w:rPr>
            </w:pPr>
            <w:r w:rsidRPr="000F42DA">
              <w:rPr>
                <w:b/>
              </w:rPr>
              <w:t>2.10</w:t>
            </w:r>
            <w:r w:rsidR="00E23FB9">
              <w:rPr>
                <w:b/>
              </w:rPr>
              <w:t>*</w:t>
            </w:r>
            <w:r w:rsidRPr="000F42DA">
              <w:rPr>
                <w:b/>
              </w:rPr>
              <w:br/>
              <w:t>(0.17)</w:t>
            </w:r>
          </w:p>
        </w:tc>
        <w:tc>
          <w:tcPr>
            <w:tcW w:w="1161" w:type="pct"/>
          </w:tcPr>
          <w:p w:rsidR="00506C65" w:rsidRPr="000F42DA" w:rsidRDefault="00506C65" w:rsidP="000C2643">
            <w:pPr>
              <w:widowControl w:val="0"/>
              <w:autoSpaceDE w:val="0"/>
              <w:autoSpaceDN w:val="0"/>
              <w:adjustRightInd w:val="0"/>
              <w:jc w:val="center"/>
              <w:rPr>
                <w:b/>
              </w:rPr>
            </w:pPr>
            <w:r w:rsidRPr="000F42DA">
              <w:rPr>
                <w:b/>
              </w:rPr>
              <w:t>2.17</w:t>
            </w:r>
            <w:r w:rsidR="00E23FB9">
              <w:rPr>
                <w:b/>
              </w:rPr>
              <w:t>*</w:t>
            </w:r>
            <w:r w:rsidRPr="000F42DA">
              <w:rPr>
                <w:b/>
              </w:rPr>
              <w:br/>
              <w:t>(0.17)</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rsidRPr="000F42DA">
              <w:t>Constant</w:t>
            </w:r>
          </w:p>
        </w:tc>
        <w:tc>
          <w:tcPr>
            <w:tcW w:w="1163" w:type="pct"/>
          </w:tcPr>
          <w:p w:rsidR="00506C65" w:rsidRPr="000F42DA" w:rsidRDefault="00506C65" w:rsidP="000C2643">
            <w:pPr>
              <w:widowControl w:val="0"/>
              <w:autoSpaceDE w:val="0"/>
              <w:autoSpaceDN w:val="0"/>
              <w:adjustRightInd w:val="0"/>
              <w:jc w:val="center"/>
              <w:rPr>
                <w:b/>
              </w:rPr>
            </w:pPr>
            <w:r w:rsidRPr="000F42DA">
              <w:rPr>
                <w:b/>
              </w:rPr>
              <w:t>-1.26</w:t>
            </w:r>
            <w:r w:rsidR="00E23FB9">
              <w:rPr>
                <w:b/>
              </w:rPr>
              <w:t>*</w:t>
            </w:r>
            <w:r w:rsidRPr="000F42DA">
              <w:rPr>
                <w:b/>
              </w:rPr>
              <w:br/>
              <w:t>(0.14)</w:t>
            </w:r>
          </w:p>
        </w:tc>
        <w:tc>
          <w:tcPr>
            <w:tcW w:w="1163" w:type="pct"/>
          </w:tcPr>
          <w:p w:rsidR="00506C65" w:rsidRPr="000F42DA" w:rsidRDefault="00506C65" w:rsidP="000C2643">
            <w:pPr>
              <w:widowControl w:val="0"/>
              <w:autoSpaceDE w:val="0"/>
              <w:autoSpaceDN w:val="0"/>
              <w:adjustRightInd w:val="0"/>
              <w:jc w:val="center"/>
              <w:rPr>
                <w:b/>
              </w:rPr>
            </w:pPr>
            <w:r w:rsidRPr="000F42DA">
              <w:rPr>
                <w:b/>
              </w:rPr>
              <w:t>-1.26</w:t>
            </w:r>
            <w:r w:rsidR="00E23FB9">
              <w:rPr>
                <w:b/>
              </w:rPr>
              <w:t>*</w:t>
            </w:r>
            <w:r w:rsidRPr="000F42DA">
              <w:rPr>
                <w:b/>
              </w:rPr>
              <w:br/>
              <w:t>(0.14)</w:t>
            </w:r>
          </w:p>
        </w:tc>
        <w:tc>
          <w:tcPr>
            <w:tcW w:w="1161" w:type="pct"/>
          </w:tcPr>
          <w:p w:rsidR="00506C65" w:rsidRPr="000F42DA" w:rsidRDefault="00506C65" w:rsidP="000C2643">
            <w:pPr>
              <w:widowControl w:val="0"/>
              <w:autoSpaceDE w:val="0"/>
              <w:autoSpaceDN w:val="0"/>
              <w:adjustRightInd w:val="0"/>
              <w:jc w:val="center"/>
              <w:rPr>
                <w:b/>
              </w:rPr>
            </w:pPr>
            <w:r w:rsidRPr="000F42DA">
              <w:rPr>
                <w:b/>
              </w:rPr>
              <w:t>-1.30</w:t>
            </w:r>
            <w:r w:rsidR="00E23FB9">
              <w:rPr>
                <w:b/>
              </w:rPr>
              <w:t>*</w:t>
            </w:r>
            <w:r w:rsidRPr="000F42DA">
              <w:rPr>
                <w:b/>
              </w:rPr>
              <w:br/>
              <w:t>(0.13)</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rsidRPr="000F42DA">
              <w:t>Observations</w:t>
            </w:r>
          </w:p>
        </w:tc>
        <w:tc>
          <w:tcPr>
            <w:tcW w:w="1163" w:type="pct"/>
          </w:tcPr>
          <w:p w:rsidR="00506C65" w:rsidRPr="000F42DA" w:rsidRDefault="00506C65" w:rsidP="000C2643">
            <w:pPr>
              <w:widowControl w:val="0"/>
              <w:autoSpaceDE w:val="0"/>
              <w:autoSpaceDN w:val="0"/>
              <w:adjustRightInd w:val="0"/>
              <w:jc w:val="center"/>
            </w:pPr>
            <w:r w:rsidRPr="000F42DA">
              <w:t>902</w:t>
            </w:r>
          </w:p>
        </w:tc>
        <w:tc>
          <w:tcPr>
            <w:tcW w:w="1163" w:type="pct"/>
          </w:tcPr>
          <w:p w:rsidR="00506C65" w:rsidRPr="000F42DA" w:rsidRDefault="00506C65" w:rsidP="000C2643">
            <w:pPr>
              <w:widowControl w:val="0"/>
              <w:autoSpaceDE w:val="0"/>
              <w:autoSpaceDN w:val="0"/>
              <w:adjustRightInd w:val="0"/>
              <w:jc w:val="center"/>
            </w:pPr>
            <w:r w:rsidRPr="000F42DA">
              <w:t>900</w:t>
            </w:r>
          </w:p>
        </w:tc>
        <w:tc>
          <w:tcPr>
            <w:tcW w:w="1161" w:type="pct"/>
          </w:tcPr>
          <w:p w:rsidR="00506C65" w:rsidRPr="000F42DA" w:rsidRDefault="00506C65" w:rsidP="000C2643">
            <w:pPr>
              <w:widowControl w:val="0"/>
              <w:autoSpaceDE w:val="0"/>
              <w:autoSpaceDN w:val="0"/>
              <w:adjustRightInd w:val="0"/>
              <w:jc w:val="center"/>
            </w:pPr>
            <w:r w:rsidRPr="000F42DA">
              <w:t>897</w:t>
            </w:r>
          </w:p>
        </w:tc>
      </w:tr>
    </w:tbl>
    <w:p w:rsidR="00506C65" w:rsidRDefault="00506C65" w:rsidP="00506C65">
      <w:pPr>
        <w:jc w:val="both"/>
      </w:pPr>
    </w:p>
    <w:p w:rsidR="00506C65" w:rsidRDefault="00506C65" w:rsidP="00506C65">
      <w:r>
        <w:t xml:space="preserve">Note: </w:t>
      </w:r>
      <w:r w:rsidRPr="0099156B">
        <w:t xml:space="preserve">Numeric cell entries are coefficients, with </w:t>
      </w:r>
      <w:r>
        <w:t xml:space="preserve">standard errors in parentheses. </w:t>
      </w:r>
      <w:r w:rsidRPr="0099156B">
        <w:t xml:space="preserve">Boldface </w:t>
      </w:r>
      <w:r w:rsidR="00E23FB9">
        <w:t xml:space="preserve">and asterisk </w:t>
      </w:r>
      <w:r w:rsidRPr="0099156B">
        <w:t>indicate st</w:t>
      </w:r>
      <w:r>
        <w:t>atistical significance at the p&lt;0.05</w:t>
      </w:r>
      <w:r w:rsidRPr="0099156B">
        <w:t xml:space="preserve"> level </w:t>
      </w:r>
      <w:r>
        <w:t>(two-tailed test).</w:t>
      </w:r>
    </w:p>
    <w:p w:rsidR="00506C65" w:rsidRPr="0099156B" w:rsidRDefault="00506C65" w:rsidP="00506C65">
      <w:pPr>
        <w:jc w:val="center"/>
        <w:rPr>
          <w:b/>
        </w:rPr>
      </w:pPr>
      <w:r>
        <w:rPr>
          <w:b/>
        </w:rPr>
        <w:br w:type="page"/>
      </w:r>
      <w:proofErr w:type="gramStart"/>
      <w:r>
        <w:rPr>
          <w:b/>
        </w:rPr>
        <w:lastRenderedPageBreak/>
        <w:t>Table 3</w:t>
      </w:r>
      <w:r w:rsidRPr="0099156B">
        <w:rPr>
          <w:b/>
        </w:rPr>
        <w:t>.</w:t>
      </w:r>
      <w:proofErr w:type="gramEnd"/>
      <w:r w:rsidRPr="0099156B">
        <w:rPr>
          <w:b/>
        </w:rPr>
        <w:t xml:space="preserve"> Influence of Emotions on the Effect of </w:t>
      </w:r>
      <w:r w:rsidRPr="003845B2">
        <w:rPr>
          <w:b/>
        </w:rPr>
        <w:t>Partisanship</w:t>
      </w:r>
    </w:p>
    <w:p w:rsidR="00506C65" w:rsidRDefault="00506C65" w:rsidP="00506C65">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2227"/>
        <w:gridCol w:w="2227"/>
        <w:gridCol w:w="2224"/>
      </w:tblGrid>
      <w:tr w:rsidR="00506C65" w:rsidRPr="000F42DA" w:rsidTr="000C2643">
        <w:tc>
          <w:tcPr>
            <w:tcW w:w="1513" w:type="pct"/>
          </w:tcPr>
          <w:p w:rsidR="00506C65" w:rsidRPr="000F42DA" w:rsidRDefault="00506C65" w:rsidP="000C2643">
            <w:pPr>
              <w:widowControl w:val="0"/>
              <w:autoSpaceDE w:val="0"/>
              <w:autoSpaceDN w:val="0"/>
              <w:adjustRightInd w:val="0"/>
            </w:pPr>
          </w:p>
        </w:tc>
        <w:tc>
          <w:tcPr>
            <w:tcW w:w="1163" w:type="pct"/>
          </w:tcPr>
          <w:p w:rsidR="00506C65" w:rsidRPr="000F42DA" w:rsidRDefault="00506C65" w:rsidP="000C2643">
            <w:pPr>
              <w:widowControl w:val="0"/>
              <w:autoSpaceDE w:val="0"/>
              <w:autoSpaceDN w:val="0"/>
              <w:adjustRightInd w:val="0"/>
              <w:jc w:val="center"/>
            </w:pPr>
            <w:r>
              <w:t>7</w:t>
            </w:r>
          </w:p>
        </w:tc>
        <w:tc>
          <w:tcPr>
            <w:tcW w:w="1163" w:type="pct"/>
          </w:tcPr>
          <w:p w:rsidR="00506C65" w:rsidRPr="000F42DA" w:rsidRDefault="00506C65" w:rsidP="000C2643">
            <w:pPr>
              <w:widowControl w:val="0"/>
              <w:autoSpaceDE w:val="0"/>
              <w:autoSpaceDN w:val="0"/>
              <w:adjustRightInd w:val="0"/>
              <w:jc w:val="center"/>
            </w:pPr>
            <w:r>
              <w:t>8</w:t>
            </w:r>
          </w:p>
        </w:tc>
        <w:tc>
          <w:tcPr>
            <w:tcW w:w="1161" w:type="pct"/>
          </w:tcPr>
          <w:p w:rsidR="00506C65" w:rsidRPr="000F42DA" w:rsidRDefault="00506C65" w:rsidP="000C2643">
            <w:pPr>
              <w:widowControl w:val="0"/>
              <w:autoSpaceDE w:val="0"/>
              <w:autoSpaceDN w:val="0"/>
              <w:adjustRightInd w:val="0"/>
              <w:jc w:val="center"/>
            </w:pPr>
            <w:r>
              <w:t>9</w:t>
            </w:r>
          </w:p>
        </w:tc>
      </w:tr>
      <w:tr w:rsidR="00506C65" w:rsidRPr="000F42DA" w:rsidTr="000C2643">
        <w:tc>
          <w:tcPr>
            <w:tcW w:w="1513" w:type="pct"/>
          </w:tcPr>
          <w:p w:rsidR="00506C65" w:rsidRPr="000F42DA" w:rsidRDefault="00506C65" w:rsidP="000C2643">
            <w:pPr>
              <w:widowControl w:val="0"/>
              <w:autoSpaceDE w:val="0"/>
              <w:autoSpaceDN w:val="0"/>
              <w:adjustRightInd w:val="0"/>
            </w:pPr>
          </w:p>
        </w:tc>
        <w:tc>
          <w:tcPr>
            <w:tcW w:w="1163" w:type="pct"/>
            <w:vAlign w:val="center"/>
          </w:tcPr>
          <w:p w:rsidR="00506C65" w:rsidRPr="000F42DA" w:rsidRDefault="003A407B" w:rsidP="000C2643">
            <w:pPr>
              <w:widowControl w:val="0"/>
              <w:autoSpaceDE w:val="0"/>
              <w:autoSpaceDN w:val="0"/>
              <w:adjustRightInd w:val="0"/>
              <w:jc w:val="center"/>
            </w:pPr>
            <w:r>
              <w:t>Disapproval of</w:t>
            </w:r>
            <w:r w:rsidR="00506C65" w:rsidRPr="000F42DA">
              <w:t xml:space="preserve"> the way Barack Obama is handling health care</w:t>
            </w:r>
          </w:p>
        </w:tc>
        <w:tc>
          <w:tcPr>
            <w:tcW w:w="1163" w:type="pct"/>
            <w:vAlign w:val="center"/>
          </w:tcPr>
          <w:p w:rsidR="00506C65" w:rsidRPr="000F42DA" w:rsidRDefault="00506C65" w:rsidP="000C2643">
            <w:pPr>
              <w:widowControl w:val="0"/>
              <w:autoSpaceDE w:val="0"/>
              <w:autoSpaceDN w:val="0"/>
              <w:adjustRightInd w:val="0"/>
              <w:jc w:val="center"/>
            </w:pPr>
            <w:r w:rsidRPr="000F42DA">
              <w:t>Opposition to Barack Obama and the Democrats' Health Care reform bill</w:t>
            </w:r>
          </w:p>
        </w:tc>
        <w:tc>
          <w:tcPr>
            <w:tcW w:w="1161" w:type="pct"/>
            <w:vAlign w:val="center"/>
          </w:tcPr>
          <w:p w:rsidR="00506C65" w:rsidRPr="000F42DA" w:rsidRDefault="00506C65" w:rsidP="003A407B">
            <w:pPr>
              <w:widowControl w:val="0"/>
              <w:autoSpaceDE w:val="0"/>
              <w:autoSpaceDN w:val="0"/>
              <w:adjustRightInd w:val="0"/>
              <w:jc w:val="center"/>
            </w:pPr>
            <w:r w:rsidRPr="000F42DA">
              <w:t>Negative views o</w:t>
            </w:r>
            <w:r w:rsidR="003A407B">
              <w:t>f</w:t>
            </w:r>
            <w:r w:rsidRPr="000F42DA">
              <w:t xml:space="preserve"> the health care reform bill opinions scale</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t>Partisanship</w:t>
            </w:r>
            <w:r w:rsidRPr="000F42DA">
              <w:t xml:space="preserve"> x Anger</w:t>
            </w:r>
          </w:p>
        </w:tc>
        <w:tc>
          <w:tcPr>
            <w:tcW w:w="1163" w:type="pct"/>
          </w:tcPr>
          <w:p w:rsidR="00506C65" w:rsidRPr="003845B2" w:rsidRDefault="00506C65" w:rsidP="000C2643">
            <w:pPr>
              <w:widowControl w:val="0"/>
              <w:autoSpaceDE w:val="0"/>
              <w:autoSpaceDN w:val="0"/>
              <w:adjustRightInd w:val="0"/>
              <w:jc w:val="center"/>
            </w:pPr>
            <w:r w:rsidRPr="003845B2">
              <w:t>0.44</w:t>
            </w:r>
            <w:r w:rsidRPr="003845B2">
              <w:br/>
              <w:t>(0.26)</w:t>
            </w:r>
          </w:p>
        </w:tc>
        <w:tc>
          <w:tcPr>
            <w:tcW w:w="1163" w:type="pct"/>
          </w:tcPr>
          <w:p w:rsidR="00506C65" w:rsidRPr="003845B2" w:rsidRDefault="00506C65" w:rsidP="000C2643">
            <w:pPr>
              <w:widowControl w:val="0"/>
              <w:autoSpaceDE w:val="0"/>
              <w:autoSpaceDN w:val="0"/>
              <w:adjustRightInd w:val="0"/>
              <w:jc w:val="center"/>
            </w:pPr>
            <w:r w:rsidRPr="003845B2">
              <w:t>0.43</w:t>
            </w:r>
            <w:r w:rsidRPr="003845B2">
              <w:br/>
              <w:t>(0.25)</w:t>
            </w:r>
          </w:p>
        </w:tc>
        <w:tc>
          <w:tcPr>
            <w:tcW w:w="1161" w:type="pct"/>
          </w:tcPr>
          <w:p w:rsidR="00506C65" w:rsidRPr="003845B2" w:rsidRDefault="00506C65" w:rsidP="000C2643">
            <w:pPr>
              <w:widowControl w:val="0"/>
              <w:autoSpaceDE w:val="0"/>
              <w:autoSpaceDN w:val="0"/>
              <w:adjustRightInd w:val="0"/>
              <w:jc w:val="center"/>
            </w:pPr>
            <w:r w:rsidRPr="003845B2">
              <w:t>0.45</w:t>
            </w:r>
            <w:r w:rsidRPr="003845B2">
              <w:br/>
              <w:t>(0.25)</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t>Partisanship</w:t>
            </w:r>
            <w:r w:rsidRPr="000F42DA">
              <w:t xml:space="preserve"> x Fear</w:t>
            </w:r>
          </w:p>
        </w:tc>
        <w:tc>
          <w:tcPr>
            <w:tcW w:w="1163" w:type="pct"/>
          </w:tcPr>
          <w:p w:rsidR="00506C65" w:rsidRPr="003845B2" w:rsidRDefault="00506C65" w:rsidP="000C2643">
            <w:pPr>
              <w:widowControl w:val="0"/>
              <w:autoSpaceDE w:val="0"/>
              <w:autoSpaceDN w:val="0"/>
              <w:adjustRightInd w:val="0"/>
              <w:jc w:val="center"/>
              <w:rPr>
                <w:b/>
              </w:rPr>
            </w:pPr>
            <w:r w:rsidRPr="003845B2">
              <w:rPr>
                <w:b/>
              </w:rPr>
              <w:t>0.77</w:t>
            </w:r>
            <w:r w:rsidR="00E23FB9">
              <w:rPr>
                <w:b/>
              </w:rPr>
              <w:t>*</w:t>
            </w:r>
            <w:r w:rsidRPr="003845B2">
              <w:rPr>
                <w:b/>
              </w:rPr>
              <w:br/>
              <w:t>(0.25)</w:t>
            </w:r>
          </w:p>
        </w:tc>
        <w:tc>
          <w:tcPr>
            <w:tcW w:w="1163" w:type="pct"/>
          </w:tcPr>
          <w:p w:rsidR="00506C65" w:rsidRPr="003845B2" w:rsidRDefault="00506C65" w:rsidP="000C2643">
            <w:pPr>
              <w:widowControl w:val="0"/>
              <w:autoSpaceDE w:val="0"/>
              <w:autoSpaceDN w:val="0"/>
              <w:adjustRightInd w:val="0"/>
              <w:jc w:val="center"/>
              <w:rPr>
                <w:b/>
              </w:rPr>
            </w:pPr>
            <w:r w:rsidRPr="003845B2">
              <w:rPr>
                <w:b/>
              </w:rPr>
              <w:t>0.87</w:t>
            </w:r>
            <w:r w:rsidR="00E23FB9">
              <w:rPr>
                <w:b/>
              </w:rPr>
              <w:t>*</w:t>
            </w:r>
            <w:r w:rsidRPr="003845B2">
              <w:rPr>
                <w:b/>
              </w:rPr>
              <w:br/>
              <w:t>(0.23)</w:t>
            </w:r>
          </w:p>
        </w:tc>
        <w:tc>
          <w:tcPr>
            <w:tcW w:w="1161" w:type="pct"/>
          </w:tcPr>
          <w:p w:rsidR="00506C65" w:rsidRPr="003845B2" w:rsidRDefault="00506C65" w:rsidP="000C2643">
            <w:pPr>
              <w:widowControl w:val="0"/>
              <w:autoSpaceDE w:val="0"/>
              <w:autoSpaceDN w:val="0"/>
              <w:adjustRightInd w:val="0"/>
              <w:jc w:val="center"/>
              <w:rPr>
                <w:b/>
              </w:rPr>
            </w:pPr>
            <w:r w:rsidRPr="003845B2">
              <w:rPr>
                <w:b/>
              </w:rPr>
              <w:t>0.85</w:t>
            </w:r>
            <w:r w:rsidR="00E23FB9">
              <w:rPr>
                <w:b/>
              </w:rPr>
              <w:t>*</w:t>
            </w:r>
            <w:r w:rsidRPr="003845B2">
              <w:rPr>
                <w:b/>
              </w:rPr>
              <w:br/>
              <w:t>(0.24)</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t>Partisanship</w:t>
            </w:r>
            <w:r w:rsidRPr="000F42DA">
              <w:t xml:space="preserve"> x Enthusiasm</w:t>
            </w:r>
          </w:p>
        </w:tc>
        <w:tc>
          <w:tcPr>
            <w:tcW w:w="1163" w:type="pct"/>
          </w:tcPr>
          <w:p w:rsidR="00506C65" w:rsidRPr="003845B2" w:rsidRDefault="00506C65" w:rsidP="000C2643">
            <w:pPr>
              <w:widowControl w:val="0"/>
              <w:autoSpaceDE w:val="0"/>
              <w:autoSpaceDN w:val="0"/>
              <w:adjustRightInd w:val="0"/>
              <w:jc w:val="center"/>
            </w:pPr>
            <w:r w:rsidRPr="003845B2">
              <w:t>0.12</w:t>
            </w:r>
            <w:r w:rsidRPr="003845B2">
              <w:br/>
              <w:t>(0.27)</w:t>
            </w:r>
          </w:p>
        </w:tc>
        <w:tc>
          <w:tcPr>
            <w:tcW w:w="1163" w:type="pct"/>
          </w:tcPr>
          <w:p w:rsidR="00506C65" w:rsidRPr="003845B2" w:rsidRDefault="00506C65" w:rsidP="000C2643">
            <w:pPr>
              <w:widowControl w:val="0"/>
              <w:autoSpaceDE w:val="0"/>
              <w:autoSpaceDN w:val="0"/>
              <w:adjustRightInd w:val="0"/>
              <w:jc w:val="center"/>
            </w:pPr>
            <w:r w:rsidRPr="003845B2">
              <w:t>0.33</w:t>
            </w:r>
            <w:r w:rsidRPr="003845B2">
              <w:br/>
              <w:t>(0.27)</w:t>
            </w:r>
          </w:p>
        </w:tc>
        <w:tc>
          <w:tcPr>
            <w:tcW w:w="1161" w:type="pct"/>
          </w:tcPr>
          <w:p w:rsidR="00506C65" w:rsidRPr="003845B2" w:rsidRDefault="00506C65" w:rsidP="000C2643">
            <w:pPr>
              <w:widowControl w:val="0"/>
              <w:autoSpaceDE w:val="0"/>
              <w:autoSpaceDN w:val="0"/>
              <w:adjustRightInd w:val="0"/>
              <w:jc w:val="center"/>
            </w:pPr>
            <w:r w:rsidRPr="003845B2">
              <w:t>0.23</w:t>
            </w:r>
            <w:r w:rsidRPr="003845B2">
              <w:br/>
              <w:t>(0.26)</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rsidRPr="000F42DA">
              <w:t>Anger condition</w:t>
            </w:r>
          </w:p>
        </w:tc>
        <w:tc>
          <w:tcPr>
            <w:tcW w:w="1163" w:type="pct"/>
          </w:tcPr>
          <w:p w:rsidR="00506C65" w:rsidRPr="003845B2" w:rsidRDefault="00506C65" w:rsidP="000C2643">
            <w:pPr>
              <w:widowControl w:val="0"/>
              <w:autoSpaceDE w:val="0"/>
              <w:autoSpaceDN w:val="0"/>
              <w:adjustRightInd w:val="0"/>
              <w:jc w:val="center"/>
            </w:pPr>
            <w:r w:rsidRPr="003845B2">
              <w:t>-0.28</w:t>
            </w:r>
            <w:r w:rsidRPr="003845B2">
              <w:br/>
              <w:t>(0.16)</w:t>
            </w:r>
          </w:p>
        </w:tc>
        <w:tc>
          <w:tcPr>
            <w:tcW w:w="1163" w:type="pct"/>
          </w:tcPr>
          <w:p w:rsidR="00506C65" w:rsidRPr="003845B2" w:rsidRDefault="00506C65" w:rsidP="000C2643">
            <w:pPr>
              <w:widowControl w:val="0"/>
              <w:autoSpaceDE w:val="0"/>
              <w:autoSpaceDN w:val="0"/>
              <w:adjustRightInd w:val="0"/>
              <w:jc w:val="center"/>
            </w:pPr>
            <w:r w:rsidRPr="003845B2">
              <w:t>-0.27</w:t>
            </w:r>
            <w:r w:rsidRPr="003845B2">
              <w:br/>
              <w:t>(0.16)</w:t>
            </w:r>
          </w:p>
        </w:tc>
        <w:tc>
          <w:tcPr>
            <w:tcW w:w="1161" w:type="pct"/>
          </w:tcPr>
          <w:p w:rsidR="00506C65" w:rsidRPr="003845B2" w:rsidRDefault="00506C65" w:rsidP="000C2643">
            <w:pPr>
              <w:widowControl w:val="0"/>
              <w:autoSpaceDE w:val="0"/>
              <w:autoSpaceDN w:val="0"/>
              <w:adjustRightInd w:val="0"/>
              <w:jc w:val="center"/>
            </w:pPr>
            <w:r w:rsidRPr="003845B2">
              <w:t>-0.29</w:t>
            </w:r>
            <w:r w:rsidRPr="003845B2">
              <w:br/>
              <w:t>(0.16)</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rsidRPr="000F42DA">
              <w:t>Fear condition</w:t>
            </w:r>
          </w:p>
        </w:tc>
        <w:tc>
          <w:tcPr>
            <w:tcW w:w="1163" w:type="pct"/>
          </w:tcPr>
          <w:p w:rsidR="00506C65" w:rsidRPr="003845B2" w:rsidRDefault="00506C65" w:rsidP="000C2643">
            <w:pPr>
              <w:widowControl w:val="0"/>
              <w:autoSpaceDE w:val="0"/>
              <w:autoSpaceDN w:val="0"/>
              <w:adjustRightInd w:val="0"/>
              <w:jc w:val="center"/>
              <w:rPr>
                <w:b/>
              </w:rPr>
            </w:pPr>
            <w:r w:rsidRPr="003845B2">
              <w:rPr>
                <w:b/>
              </w:rPr>
              <w:t>-0.54</w:t>
            </w:r>
            <w:r w:rsidR="00E23FB9">
              <w:rPr>
                <w:b/>
              </w:rPr>
              <w:t>*</w:t>
            </w:r>
            <w:r w:rsidRPr="003845B2">
              <w:rPr>
                <w:b/>
              </w:rPr>
              <w:br/>
              <w:t>(0.16)</w:t>
            </w:r>
          </w:p>
        </w:tc>
        <w:tc>
          <w:tcPr>
            <w:tcW w:w="1163" w:type="pct"/>
          </w:tcPr>
          <w:p w:rsidR="00506C65" w:rsidRPr="003845B2" w:rsidRDefault="00506C65" w:rsidP="000C2643">
            <w:pPr>
              <w:widowControl w:val="0"/>
              <w:autoSpaceDE w:val="0"/>
              <w:autoSpaceDN w:val="0"/>
              <w:adjustRightInd w:val="0"/>
              <w:jc w:val="center"/>
              <w:rPr>
                <w:b/>
              </w:rPr>
            </w:pPr>
            <w:r w:rsidRPr="003845B2">
              <w:rPr>
                <w:b/>
              </w:rPr>
              <w:t>-0.59</w:t>
            </w:r>
            <w:r w:rsidR="00E23FB9">
              <w:rPr>
                <w:b/>
              </w:rPr>
              <w:t>*</w:t>
            </w:r>
            <w:r w:rsidRPr="003845B2">
              <w:rPr>
                <w:b/>
              </w:rPr>
              <w:br/>
              <w:t>(0.15)</w:t>
            </w:r>
          </w:p>
        </w:tc>
        <w:tc>
          <w:tcPr>
            <w:tcW w:w="1161" w:type="pct"/>
          </w:tcPr>
          <w:p w:rsidR="00506C65" w:rsidRPr="003845B2" w:rsidRDefault="00506C65" w:rsidP="000C2643">
            <w:pPr>
              <w:widowControl w:val="0"/>
              <w:autoSpaceDE w:val="0"/>
              <w:autoSpaceDN w:val="0"/>
              <w:adjustRightInd w:val="0"/>
              <w:jc w:val="center"/>
              <w:rPr>
                <w:b/>
              </w:rPr>
            </w:pPr>
            <w:r w:rsidRPr="003845B2">
              <w:rPr>
                <w:b/>
              </w:rPr>
              <w:t>-0.59</w:t>
            </w:r>
            <w:r w:rsidR="00E23FB9">
              <w:rPr>
                <w:b/>
              </w:rPr>
              <w:t>*</w:t>
            </w:r>
            <w:r w:rsidRPr="003845B2">
              <w:rPr>
                <w:b/>
              </w:rPr>
              <w:br/>
              <w:t>(0.15)</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rsidRPr="000F42DA">
              <w:t>Enthusiasm condition</w:t>
            </w:r>
          </w:p>
        </w:tc>
        <w:tc>
          <w:tcPr>
            <w:tcW w:w="1163" w:type="pct"/>
          </w:tcPr>
          <w:p w:rsidR="00506C65" w:rsidRPr="003845B2" w:rsidRDefault="00506C65" w:rsidP="000C2643">
            <w:pPr>
              <w:widowControl w:val="0"/>
              <w:autoSpaceDE w:val="0"/>
              <w:autoSpaceDN w:val="0"/>
              <w:adjustRightInd w:val="0"/>
              <w:jc w:val="center"/>
            </w:pPr>
            <w:r w:rsidRPr="003845B2">
              <w:t>-0.24</w:t>
            </w:r>
            <w:r w:rsidRPr="003845B2">
              <w:br/>
              <w:t>(0.18)</w:t>
            </w:r>
          </w:p>
        </w:tc>
        <w:tc>
          <w:tcPr>
            <w:tcW w:w="1163" w:type="pct"/>
          </w:tcPr>
          <w:p w:rsidR="00506C65" w:rsidRPr="003845B2" w:rsidRDefault="00506C65" w:rsidP="000C2643">
            <w:pPr>
              <w:widowControl w:val="0"/>
              <w:autoSpaceDE w:val="0"/>
              <w:autoSpaceDN w:val="0"/>
              <w:adjustRightInd w:val="0"/>
              <w:jc w:val="center"/>
            </w:pPr>
            <w:r w:rsidRPr="003845B2">
              <w:t>-0.33</w:t>
            </w:r>
            <w:r w:rsidRPr="003845B2">
              <w:br/>
              <w:t>(0.18)</w:t>
            </w:r>
          </w:p>
        </w:tc>
        <w:tc>
          <w:tcPr>
            <w:tcW w:w="1161" w:type="pct"/>
          </w:tcPr>
          <w:p w:rsidR="00506C65" w:rsidRPr="003845B2" w:rsidRDefault="00506C65" w:rsidP="000C2643">
            <w:pPr>
              <w:widowControl w:val="0"/>
              <w:autoSpaceDE w:val="0"/>
              <w:autoSpaceDN w:val="0"/>
              <w:adjustRightInd w:val="0"/>
              <w:jc w:val="center"/>
            </w:pPr>
            <w:r w:rsidRPr="003845B2">
              <w:t>-0.29</w:t>
            </w:r>
            <w:r w:rsidRPr="003845B2">
              <w:br/>
              <w:t>(0.18)</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t>Partisanship</w:t>
            </w:r>
          </w:p>
        </w:tc>
        <w:tc>
          <w:tcPr>
            <w:tcW w:w="1163" w:type="pct"/>
          </w:tcPr>
          <w:p w:rsidR="00506C65" w:rsidRPr="003845B2" w:rsidRDefault="00506C65" w:rsidP="000C2643">
            <w:pPr>
              <w:widowControl w:val="0"/>
              <w:autoSpaceDE w:val="0"/>
              <w:autoSpaceDN w:val="0"/>
              <w:adjustRightInd w:val="0"/>
              <w:jc w:val="center"/>
              <w:rPr>
                <w:b/>
              </w:rPr>
            </w:pPr>
            <w:r w:rsidRPr="003845B2">
              <w:rPr>
                <w:b/>
              </w:rPr>
              <w:t>1.38</w:t>
            </w:r>
            <w:r w:rsidR="00E23FB9">
              <w:rPr>
                <w:b/>
              </w:rPr>
              <w:t>*</w:t>
            </w:r>
            <w:r w:rsidRPr="003845B2">
              <w:rPr>
                <w:b/>
              </w:rPr>
              <w:br/>
              <w:t>(0.20)</w:t>
            </w:r>
          </w:p>
        </w:tc>
        <w:tc>
          <w:tcPr>
            <w:tcW w:w="1163" w:type="pct"/>
          </w:tcPr>
          <w:p w:rsidR="00506C65" w:rsidRPr="003845B2" w:rsidRDefault="00506C65" w:rsidP="000C2643">
            <w:pPr>
              <w:widowControl w:val="0"/>
              <w:autoSpaceDE w:val="0"/>
              <w:autoSpaceDN w:val="0"/>
              <w:adjustRightInd w:val="0"/>
              <w:jc w:val="center"/>
              <w:rPr>
                <w:b/>
              </w:rPr>
            </w:pPr>
            <w:r w:rsidRPr="003845B2">
              <w:rPr>
                <w:b/>
              </w:rPr>
              <w:t>1.37</w:t>
            </w:r>
            <w:r w:rsidR="00E23FB9">
              <w:rPr>
                <w:b/>
              </w:rPr>
              <w:t>*</w:t>
            </w:r>
            <w:r w:rsidRPr="003845B2">
              <w:rPr>
                <w:b/>
              </w:rPr>
              <w:br/>
              <w:t>(0.19)</w:t>
            </w:r>
          </w:p>
        </w:tc>
        <w:tc>
          <w:tcPr>
            <w:tcW w:w="1161" w:type="pct"/>
          </w:tcPr>
          <w:p w:rsidR="00506C65" w:rsidRPr="003845B2" w:rsidRDefault="00506C65" w:rsidP="000C2643">
            <w:pPr>
              <w:widowControl w:val="0"/>
              <w:autoSpaceDE w:val="0"/>
              <w:autoSpaceDN w:val="0"/>
              <w:adjustRightInd w:val="0"/>
              <w:jc w:val="center"/>
              <w:rPr>
                <w:b/>
              </w:rPr>
            </w:pPr>
            <w:r w:rsidRPr="003845B2">
              <w:rPr>
                <w:b/>
              </w:rPr>
              <w:t>1.42</w:t>
            </w:r>
            <w:r w:rsidR="00E23FB9">
              <w:rPr>
                <w:b/>
              </w:rPr>
              <w:t>*</w:t>
            </w:r>
            <w:r w:rsidRPr="003845B2">
              <w:rPr>
                <w:b/>
              </w:rPr>
              <w:br/>
              <w:t>(0.20)</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rsidRPr="000F42DA">
              <w:t>Constant</w:t>
            </w:r>
          </w:p>
        </w:tc>
        <w:tc>
          <w:tcPr>
            <w:tcW w:w="1163" w:type="pct"/>
          </w:tcPr>
          <w:p w:rsidR="00506C65" w:rsidRPr="003845B2" w:rsidRDefault="00506C65" w:rsidP="000C2643">
            <w:pPr>
              <w:widowControl w:val="0"/>
              <w:autoSpaceDE w:val="0"/>
              <w:autoSpaceDN w:val="0"/>
              <w:adjustRightInd w:val="0"/>
              <w:jc w:val="center"/>
              <w:rPr>
                <w:b/>
              </w:rPr>
            </w:pPr>
            <w:r w:rsidRPr="003845B2">
              <w:rPr>
                <w:b/>
              </w:rPr>
              <w:t>-0.63</w:t>
            </w:r>
            <w:r w:rsidR="00E23FB9">
              <w:rPr>
                <w:b/>
              </w:rPr>
              <w:t>*</w:t>
            </w:r>
            <w:r w:rsidRPr="003845B2">
              <w:rPr>
                <w:b/>
              </w:rPr>
              <w:br/>
              <w:t>(0.13)</w:t>
            </w:r>
          </w:p>
        </w:tc>
        <w:tc>
          <w:tcPr>
            <w:tcW w:w="1163" w:type="pct"/>
          </w:tcPr>
          <w:p w:rsidR="00506C65" w:rsidRPr="003845B2" w:rsidRDefault="00506C65" w:rsidP="000C2643">
            <w:pPr>
              <w:widowControl w:val="0"/>
              <w:autoSpaceDE w:val="0"/>
              <w:autoSpaceDN w:val="0"/>
              <w:adjustRightInd w:val="0"/>
              <w:jc w:val="center"/>
              <w:rPr>
                <w:b/>
              </w:rPr>
            </w:pPr>
            <w:r w:rsidRPr="003845B2">
              <w:rPr>
                <w:b/>
              </w:rPr>
              <w:t>-0.63</w:t>
            </w:r>
            <w:r w:rsidR="00E23FB9">
              <w:rPr>
                <w:b/>
              </w:rPr>
              <w:t>*</w:t>
            </w:r>
            <w:r w:rsidRPr="003845B2">
              <w:rPr>
                <w:b/>
              </w:rPr>
              <w:br/>
              <w:t>(0.12)</w:t>
            </w:r>
          </w:p>
        </w:tc>
        <w:tc>
          <w:tcPr>
            <w:tcW w:w="1161" w:type="pct"/>
          </w:tcPr>
          <w:p w:rsidR="00506C65" w:rsidRPr="003845B2" w:rsidRDefault="00506C65" w:rsidP="000C2643">
            <w:pPr>
              <w:widowControl w:val="0"/>
              <w:autoSpaceDE w:val="0"/>
              <w:autoSpaceDN w:val="0"/>
              <w:adjustRightInd w:val="0"/>
              <w:jc w:val="center"/>
              <w:rPr>
                <w:b/>
              </w:rPr>
            </w:pPr>
            <w:r w:rsidRPr="003845B2">
              <w:rPr>
                <w:b/>
              </w:rPr>
              <w:t>-0.65</w:t>
            </w:r>
            <w:r w:rsidR="00E23FB9">
              <w:rPr>
                <w:b/>
              </w:rPr>
              <w:t>*</w:t>
            </w:r>
            <w:r w:rsidRPr="003845B2">
              <w:rPr>
                <w:b/>
              </w:rPr>
              <w:br/>
              <w:t>(0.12)</w:t>
            </w:r>
          </w:p>
        </w:tc>
      </w:tr>
      <w:tr w:rsidR="00506C65" w:rsidRPr="000F42DA" w:rsidTr="000C2643">
        <w:tc>
          <w:tcPr>
            <w:tcW w:w="1513" w:type="pct"/>
            <w:vAlign w:val="center"/>
          </w:tcPr>
          <w:p w:rsidR="00506C65" w:rsidRPr="000F42DA" w:rsidRDefault="00506C65" w:rsidP="000C2643">
            <w:pPr>
              <w:widowControl w:val="0"/>
              <w:autoSpaceDE w:val="0"/>
              <w:autoSpaceDN w:val="0"/>
              <w:adjustRightInd w:val="0"/>
            </w:pPr>
            <w:r w:rsidRPr="000F42DA">
              <w:t>Observations</w:t>
            </w:r>
          </w:p>
        </w:tc>
        <w:tc>
          <w:tcPr>
            <w:tcW w:w="1163" w:type="pct"/>
          </w:tcPr>
          <w:p w:rsidR="00506C65" w:rsidRPr="003845B2" w:rsidRDefault="00506C65" w:rsidP="000C2643">
            <w:pPr>
              <w:widowControl w:val="0"/>
              <w:autoSpaceDE w:val="0"/>
              <w:autoSpaceDN w:val="0"/>
              <w:adjustRightInd w:val="0"/>
              <w:jc w:val="center"/>
            </w:pPr>
            <w:r w:rsidRPr="003845B2">
              <w:t>979</w:t>
            </w:r>
          </w:p>
        </w:tc>
        <w:tc>
          <w:tcPr>
            <w:tcW w:w="1163" w:type="pct"/>
          </w:tcPr>
          <w:p w:rsidR="00506C65" w:rsidRPr="003845B2" w:rsidRDefault="00506C65" w:rsidP="000C2643">
            <w:pPr>
              <w:widowControl w:val="0"/>
              <w:autoSpaceDE w:val="0"/>
              <w:autoSpaceDN w:val="0"/>
              <w:adjustRightInd w:val="0"/>
              <w:jc w:val="center"/>
            </w:pPr>
            <w:r w:rsidRPr="003845B2">
              <w:t>976</w:t>
            </w:r>
          </w:p>
        </w:tc>
        <w:tc>
          <w:tcPr>
            <w:tcW w:w="1161" w:type="pct"/>
          </w:tcPr>
          <w:p w:rsidR="00506C65" w:rsidRPr="003845B2" w:rsidRDefault="00506C65" w:rsidP="000C2643">
            <w:pPr>
              <w:widowControl w:val="0"/>
              <w:autoSpaceDE w:val="0"/>
              <w:autoSpaceDN w:val="0"/>
              <w:adjustRightInd w:val="0"/>
              <w:jc w:val="center"/>
            </w:pPr>
            <w:r w:rsidRPr="003845B2">
              <w:t>973</w:t>
            </w:r>
          </w:p>
        </w:tc>
      </w:tr>
    </w:tbl>
    <w:p w:rsidR="00506C65" w:rsidRDefault="00506C65" w:rsidP="00506C65">
      <w:pPr>
        <w:jc w:val="both"/>
      </w:pPr>
    </w:p>
    <w:p w:rsidR="00506C65" w:rsidRDefault="00506C65" w:rsidP="00506C65">
      <w:r>
        <w:t xml:space="preserve">Note: </w:t>
      </w:r>
      <w:r w:rsidRPr="0099156B">
        <w:t xml:space="preserve">Numeric cell entries are coefficients, with </w:t>
      </w:r>
      <w:r>
        <w:t xml:space="preserve">standard errors in parentheses. </w:t>
      </w:r>
      <w:r w:rsidRPr="0099156B">
        <w:t xml:space="preserve">Boldface </w:t>
      </w:r>
      <w:r w:rsidR="00E23FB9">
        <w:t xml:space="preserve">and asterisk </w:t>
      </w:r>
      <w:r w:rsidRPr="0099156B">
        <w:t>indicate st</w:t>
      </w:r>
      <w:r>
        <w:t>atistical significance at the p&lt;0.05</w:t>
      </w:r>
      <w:r w:rsidRPr="0099156B">
        <w:t xml:space="preserve"> level </w:t>
      </w:r>
      <w:r>
        <w:t>(two-tailed test).</w:t>
      </w:r>
    </w:p>
    <w:p w:rsidR="00506C65" w:rsidRDefault="00506C65">
      <w:pPr>
        <w:rPr>
          <w:b/>
        </w:rPr>
      </w:pPr>
    </w:p>
    <w:p w:rsidR="00506C65" w:rsidRDefault="00506C65">
      <w:pPr>
        <w:rPr>
          <w:b/>
        </w:rPr>
      </w:pPr>
      <w:r>
        <w:rPr>
          <w:b/>
        </w:rPr>
        <w:br w:type="page"/>
      </w:r>
    </w:p>
    <w:p w:rsidR="00506C65" w:rsidRPr="0099156B" w:rsidRDefault="00506C65" w:rsidP="00506C65">
      <w:pPr>
        <w:jc w:val="center"/>
        <w:rPr>
          <w:b/>
        </w:rPr>
      </w:pPr>
      <w:proofErr w:type="gramStart"/>
      <w:r>
        <w:rPr>
          <w:b/>
        </w:rPr>
        <w:lastRenderedPageBreak/>
        <w:t>Table 4</w:t>
      </w:r>
      <w:r w:rsidRPr="0099156B">
        <w:rPr>
          <w:b/>
        </w:rPr>
        <w:t>.</w:t>
      </w:r>
      <w:proofErr w:type="gramEnd"/>
      <w:r w:rsidRPr="0099156B">
        <w:rPr>
          <w:b/>
        </w:rPr>
        <w:t xml:space="preserve"> Influence of Emotions on </w:t>
      </w:r>
      <w:r w:rsidRPr="007A4BE7">
        <w:rPr>
          <w:b/>
        </w:rPr>
        <w:t>the Effect of Symbolic Racism</w:t>
      </w:r>
    </w:p>
    <w:p w:rsidR="00506C65" w:rsidRDefault="00506C65" w:rsidP="00506C65">
      <w:pPr>
        <w:jc w:val="both"/>
      </w:pPr>
    </w:p>
    <w:tbl>
      <w:tblPr>
        <w:tblW w:w="27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7"/>
        <w:gridCol w:w="2902"/>
      </w:tblGrid>
      <w:tr w:rsidR="00506C65" w:rsidRPr="00D208CF" w:rsidTr="000C2643">
        <w:trPr>
          <w:jc w:val="center"/>
        </w:trPr>
        <w:tc>
          <w:tcPr>
            <w:tcW w:w="2214" w:type="pct"/>
          </w:tcPr>
          <w:p w:rsidR="00506C65" w:rsidRPr="00D208CF" w:rsidRDefault="00506C65" w:rsidP="000C2643">
            <w:pPr>
              <w:widowControl w:val="0"/>
              <w:autoSpaceDE w:val="0"/>
              <w:autoSpaceDN w:val="0"/>
              <w:adjustRightInd w:val="0"/>
            </w:pPr>
          </w:p>
        </w:tc>
        <w:tc>
          <w:tcPr>
            <w:tcW w:w="2786" w:type="pct"/>
          </w:tcPr>
          <w:p w:rsidR="00506C65" w:rsidRPr="00D208CF" w:rsidRDefault="00506C65" w:rsidP="000C2643">
            <w:pPr>
              <w:widowControl w:val="0"/>
              <w:autoSpaceDE w:val="0"/>
              <w:autoSpaceDN w:val="0"/>
              <w:adjustRightInd w:val="0"/>
              <w:jc w:val="center"/>
            </w:pPr>
            <w:r>
              <w:t>10</w:t>
            </w:r>
          </w:p>
        </w:tc>
      </w:tr>
      <w:tr w:rsidR="00506C65" w:rsidRPr="00D208CF" w:rsidTr="000C2643">
        <w:trPr>
          <w:jc w:val="center"/>
        </w:trPr>
        <w:tc>
          <w:tcPr>
            <w:tcW w:w="2214" w:type="pct"/>
          </w:tcPr>
          <w:p w:rsidR="00506C65" w:rsidRPr="00D208CF" w:rsidRDefault="00506C65" w:rsidP="000C2643">
            <w:pPr>
              <w:widowControl w:val="0"/>
              <w:autoSpaceDE w:val="0"/>
              <w:autoSpaceDN w:val="0"/>
              <w:adjustRightInd w:val="0"/>
            </w:pPr>
          </w:p>
        </w:tc>
        <w:tc>
          <w:tcPr>
            <w:tcW w:w="2786" w:type="pct"/>
            <w:vAlign w:val="center"/>
          </w:tcPr>
          <w:p w:rsidR="00506C65" w:rsidRPr="00D208CF" w:rsidRDefault="00506C65" w:rsidP="000C2643">
            <w:pPr>
              <w:widowControl w:val="0"/>
              <w:autoSpaceDE w:val="0"/>
              <w:autoSpaceDN w:val="0"/>
              <w:adjustRightInd w:val="0"/>
              <w:jc w:val="center"/>
            </w:pPr>
            <w:r>
              <w:t>Banks (2014) model</w:t>
            </w:r>
          </w:p>
        </w:tc>
      </w:tr>
      <w:tr w:rsidR="00506C65" w:rsidRPr="00D208CF" w:rsidTr="000C2643">
        <w:trPr>
          <w:jc w:val="center"/>
        </w:trPr>
        <w:tc>
          <w:tcPr>
            <w:tcW w:w="2214" w:type="pct"/>
            <w:vAlign w:val="center"/>
          </w:tcPr>
          <w:p w:rsidR="00506C65" w:rsidRPr="00D208CF" w:rsidRDefault="00506C65" w:rsidP="000C2643">
            <w:pPr>
              <w:widowControl w:val="0"/>
              <w:autoSpaceDE w:val="0"/>
              <w:autoSpaceDN w:val="0"/>
              <w:adjustRightInd w:val="0"/>
            </w:pPr>
            <w:r w:rsidRPr="00D208CF">
              <w:t>SR x Anger</w:t>
            </w:r>
          </w:p>
        </w:tc>
        <w:tc>
          <w:tcPr>
            <w:tcW w:w="2786" w:type="pct"/>
            <w:vAlign w:val="center"/>
          </w:tcPr>
          <w:p w:rsidR="00506C65" w:rsidRPr="00D208CF" w:rsidRDefault="00506C65" w:rsidP="000C2643">
            <w:pPr>
              <w:widowControl w:val="0"/>
              <w:autoSpaceDE w:val="0"/>
              <w:autoSpaceDN w:val="0"/>
              <w:adjustRightInd w:val="0"/>
              <w:jc w:val="center"/>
              <w:rPr>
                <w:b/>
              </w:rPr>
            </w:pPr>
            <w:r w:rsidRPr="00D208CF">
              <w:rPr>
                <w:b/>
              </w:rPr>
              <w:t>1.58</w:t>
            </w:r>
            <w:r w:rsidR="00E23FB9">
              <w:rPr>
                <w:b/>
              </w:rPr>
              <w:t>*</w:t>
            </w:r>
          </w:p>
          <w:p w:rsidR="00506C65" w:rsidRPr="00D208CF" w:rsidRDefault="00506C65" w:rsidP="000C2643">
            <w:pPr>
              <w:widowControl w:val="0"/>
              <w:autoSpaceDE w:val="0"/>
              <w:autoSpaceDN w:val="0"/>
              <w:adjustRightInd w:val="0"/>
              <w:jc w:val="center"/>
            </w:pPr>
            <w:r w:rsidRPr="00D208CF">
              <w:rPr>
                <w:b/>
              </w:rPr>
              <w:t>(0.71)</w:t>
            </w:r>
          </w:p>
        </w:tc>
      </w:tr>
      <w:tr w:rsidR="00506C65" w:rsidRPr="00D208CF" w:rsidTr="000C2643">
        <w:trPr>
          <w:jc w:val="center"/>
        </w:trPr>
        <w:tc>
          <w:tcPr>
            <w:tcW w:w="2214" w:type="pct"/>
            <w:vAlign w:val="center"/>
          </w:tcPr>
          <w:p w:rsidR="00506C65" w:rsidRPr="00D208CF" w:rsidRDefault="00506C65" w:rsidP="000C2643">
            <w:pPr>
              <w:widowControl w:val="0"/>
              <w:autoSpaceDE w:val="0"/>
              <w:autoSpaceDN w:val="0"/>
              <w:adjustRightInd w:val="0"/>
            </w:pPr>
            <w:r w:rsidRPr="00D208CF">
              <w:t>SR x Fear</w:t>
            </w:r>
          </w:p>
        </w:tc>
        <w:tc>
          <w:tcPr>
            <w:tcW w:w="2786" w:type="pct"/>
            <w:vAlign w:val="center"/>
          </w:tcPr>
          <w:p w:rsidR="00506C65" w:rsidRPr="00D208CF" w:rsidRDefault="00506C65" w:rsidP="000C2643">
            <w:pPr>
              <w:widowControl w:val="0"/>
              <w:autoSpaceDE w:val="0"/>
              <w:autoSpaceDN w:val="0"/>
              <w:adjustRightInd w:val="0"/>
              <w:jc w:val="center"/>
            </w:pPr>
            <w:r w:rsidRPr="00D208CF">
              <w:t>0.59</w:t>
            </w:r>
          </w:p>
          <w:p w:rsidR="00506C65" w:rsidRPr="00D208CF" w:rsidRDefault="00506C65" w:rsidP="000C2643">
            <w:pPr>
              <w:widowControl w:val="0"/>
              <w:autoSpaceDE w:val="0"/>
              <w:autoSpaceDN w:val="0"/>
              <w:adjustRightInd w:val="0"/>
              <w:jc w:val="center"/>
            </w:pPr>
            <w:r w:rsidRPr="00D208CF">
              <w:t>(0.65)</w:t>
            </w:r>
          </w:p>
        </w:tc>
      </w:tr>
      <w:tr w:rsidR="00506C65" w:rsidRPr="00D208CF" w:rsidTr="000C2643">
        <w:trPr>
          <w:jc w:val="center"/>
        </w:trPr>
        <w:tc>
          <w:tcPr>
            <w:tcW w:w="2214" w:type="pct"/>
            <w:vAlign w:val="center"/>
          </w:tcPr>
          <w:p w:rsidR="00506C65" w:rsidRPr="00D208CF" w:rsidRDefault="00506C65" w:rsidP="000C2643">
            <w:pPr>
              <w:widowControl w:val="0"/>
              <w:autoSpaceDE w:val="0"/>
              <w:autoSpaceDN w:val="0"/>
              <w:adjustRightInd w:val="0"/>
            </w:pPr>
            <w:r w:rsidRPr="00D208CF">
              <w:t>Anger condition</w:t>
            </w:r>
          </w:p>
        </w:tc>
        <w:tc>
          <w:tcPr>
            <w:tcW w:w="2786" w:type="pct"/>
            <w:vAlign w:val="center"/>
          </w:tcPr>
          <w:p w:rsidR="00506C65" w:rsidRPr="00D208CF" w:rsidRDefault="00506C65" w:rsidP="000C2643">
            <w:pPr>
              <w:widowControl w:val="0"/>
              <w:autoSpaceDE w:val="0"/>
              <w:autoSpaceDN w:val="0"/>
              <w:adjustRightInd w:val="0"/>
              <w:jc w:val="center"/>
              <w:rPr>
                <w:b/>
              </w:rPr>
            </w:pPr>
            <w:r w:rsidRPr="00D208CF">
              <w:rPr>
                <w:b/>
              </w:rPr>
              <w:t>-1.03</w:t>
            </w:r>
            <w:r w:rsidR="00E23FB9">
              <w:rPr>
                <w:b/>
              </w:rPr>
              <w:t>*</w:t>
            </w:r>
          </w:p>
          <w:p w:rsidR="00506C65" w:rsidRPr="00D208CF" w:rsidRDefault="00506C65" w:rsidP="000C2643">
            <w:pPr>
              <w:widowControl w:val="0"/>
              <w:autoSpaceDE w:val="0"/>
              <w:autoSpaceDN w:val="0"/>
              <w:adjustRightInd w:val="0"/>
              <w:jc w:val="center"/>
            </w:pPr>
            <w:r w:rsidRPr="00D208CF">
              <w:rPr>
                <w:b/>
              </w:rPr>
              <w:t>(0.46)</w:t>
            </w:r>
          </w:p>
        </w:tc>
      </w:tr>
      <w:tr w:rsidR="00506C65" w:rsidRPr="00D208CF" w:rsidTr="000C2643">
        <w:trPr>
          <w:jc w:val="center"/>
        </w:trPr>
        <w:tc>
          <w:tcPr>
            <w:tcW w:w="2214" w:type="pct"/>
            <w:vAlign w:val="center"/>
          </w:tcPr>
          <w:p w:rsidR="00506C65" w:rsidRPr="00D208CF" w:rsidRDefault="00506C65" w:rsidP="000C2643">
            <w:pPr>
              <w:widowControl w:val="0"/>
              <w:autoSpaceDE w:val="0"/>
              <w:autoSpaceDN w:val="0"/>
              <w:adjustRightInd w:val="0"/>
            </w:pPr>
            <w:r w:rsidRPr="00D208CF">
              <w:t>Fear condition</w:t>
            </w:r>
          </w:p>
        </w:tc>
        <w:tc>
          <w:tcPr>
            <w:tcW w:w="2786" w:type="pct"/>
            <w:vAlign w:val="center"/>
          </w:tcPr>
          <w:p w:rsidR="00506C65" w:rsidRPr="00D208CF" w:rsidRDefault="00506C65" w:rsidP="000C2643">
            <w:pPr>
              <w:widowControl w:val="0"/>
              <w:autoSpaceDE w:val="0"/>
              <w:autoSpaceDN w:val="0"/>
              <w:adjustRightInd w:val="0"/>
              <w:jc w:val="center"/>
            </w:pPr>
            <w:r w:rsidRPr="00D208CF">
              <w:t>-0.50</w:t>
            </w:r>
          </w:p>
          <w:p w:rsidR="00506C65" w:rsidRPr="00D208CF" w:rsidRDefault="00506C65" w:rsidP="000C2643">
            <w:pPr>
              <w:widowControl w:val="0"/>
              <w:autoSpaceDE w:val="0"/>
              <w:autoSpaceDN w:val="0"/>
              <w:adjustRightInd w:val="0"/>
              <w:jc w:val="center"/>
            </w:pPr>
            <w:r w:rsidRPr="00D208CF">
              <w:t>(0.45)</w:t>
            </w:r>
          </w:p>
        </w:tc>
      </w:tr>
      <w:tr w:rsidR="00506C65" w:rsidRPr="00D208CF" w:rsidTr="000C2643">
        <w:trPr>
          <w:jc w:val="center"/>
        </w:trPr>
        <w:tc>
          <w:tcPr>
            <w:tcW w:w="2214" w:type="pct"/>
            <w:vAlign w:val="center"/>
          </w:tcPr>
          <w:p w:rsidR="00506C65" w:rsidRPr="00D208CF" w:rsidRDefault="00506C65" w:rsidP="000C2643">
            <w:pPr>
              <w:widowControl w:val="0"/>
              <w:autoSpaceDE w:val="0"/>
              <w:autoSpaceDN w:val="0"/>
              <w:adjustRightInd w:val="0"/>
            </w:pPr>
            <w:r w:rsidRPr="00D208CF">
              <w:t>Symbolic racism</w:t>
            </w:r>
          </w:p>
        </w:tc>
        <w:tc>
          <w:tcPr>
            <w:tcW w:w="2786" w:type="pct"/>
            <w:vAlign w:val="center"/>
          </w:tcPr>
          <w:p w:rsidR="00506C65" w:rsidRPr="00D208CF" w:rsidRDefault="00506C65" w:rsidP="000C2643">
            <w:pPr>
              <w:widowControl w:val="0"/>
              <w:autoSpaceDE w:val="0"/>
              <w:autoSpaceDN w:val="0"/>
              <w:adjustRightInd w:val="0"/>
              <w:jc w:val="center"/>
              <w:rPr>
                <w:b/>
              </w:rPr>
            </w:pPr>
            <w:r w:rsidRPr="00D208CF">
              <w:rPr>
                <w:b/>
              </w:rPr>
              <w:t>2.48</w:t>
            </w:r>
            <w:r w:rsidR="00E23FB9">
              <w:rPr>
                <w:b/>
              </w:rPr>
              <w:t>*</w:t>
            </w:r>
          </w:p>
          <w:p w:rsidR="00506C65" w:rsidRPr="00D208CF" w:rsidRDefault="00506C65" w:rsidP="000C2643">
            <w:pPr>
              <w:widowControl w:val="0"/>
              <w:autoSpaceDE w:val="0"/>
              <w:autoSpaceDN w:val="0"/>
              <w:adjustRightInd w:val="0"/>
              <w:jc w:val="center"/>
              <w:rPr>
                <w:b/>
              </w:rPr>
            </w:pPr>
            <w:r w:rsidRPr="00D208CF">
              <w:rPr>
                <w:b/>
              </w:rPr>
              <w:t>(0.45)</w:t>
            </w:r>
          </w:p>
        </w:tc>
      </w:tr>
      <w:tr w:rsidR="00506C65" w:rsidRPr="00D208CF" w:rsidTr="000C2643">
        <w:trPr>
          <w:jc w:val="center"/>
        </w:trPr>
        <w:tc>
          <w:tcPr>
            <w:tcW w:w="2214" w:type="pct"/>
            <w:vAlign w:val="center"/>
          </w:tcPr>
          <w:p w:rsidR="00506C65" w:rsidRPr="00D208CF" w:rsidRDefault="00506C65" w:rsidP="000C2643">
            <w:pPr>
              <w:widowControl w:val="0"/>
              <w:autoSpaceDE w:val="0"/>
              <w:autoSpaceDN w:val="0"/>
              <w:adjustRightInd w:val="0"/>
            </w:pPr>
            <w:r w:rsidRPr="00D208CF">
              <w:t>Income</w:t>
            </w:r>
          </w:p>
        </w:tc>
        <w:tc>
          <w:tcPr>
            <w:tcW w:w="2786" w:type="pct"/>
            <w:vAlign w:val="center"/>
          </w:tcPr>
          <w:p w:rsidR="00506C65" w:rsidRPr="00D208CF" w:rsidRDefault="00506C65" w:rsidP="000C2643">
            <w:pPr>
              <w:widowControl w:val="0"/>
              <w:autoSpaceDE w:val="0"/>
              <w:autoSpaceDN w:val="0"/>
              <w:adjustRightInd w:val="0"/>
              <w:jc w:val="center"/>
            </w:pPr>
            <w:r>
              <w:t>-0.38</w:t>
            </w:r>
          </w:p>
          <w:p w:rsidR="00506C65" w:rsidRPr="00D208CF" w:rsidRDefault="00506C65" w:rsidP="000C2643">
            <w:pPr>
              <w:widowControl w:val="0"/>
              <w:autoSpaceDE w:val="0"/>
              <w:autoSpaceDN w:val="0"/>
              <w:adjustRightInd w:val="0"/>
              <w:jc w:val="center"/>
            </w:pPr>
            <w:r>
              <w:t>(0.29</w:t>
            </w:r>
            <w:r w:rsidRPr="00D208CF">
              <w:t>)</w:t>
            </w:r>
          </w:p>
        </w:tc>
      </w:tr>
      <w:tr w:rsidR="00506C65" w:rsidRPr="00D208CF" w:rsidTr="000C2643">
        <w:trPr>
          <w:jc w:val="center"/>
        </w:trPr>
        <w:tc>
          <w:tcPr>
            <w:tcW w:w="2214" w:type="pct"/>
            <w:vAlign w:val="center"/>
          </w:tcPr>
          <w:p w:rsidR="00506C65" w:rsidRPr="00D208CF" w:rsidRDefault="00506C65" w:rsidP="000C2643">
            <w:pPr>
              <w:widowControl w:val="0"/>
              <w:autoSpaceDE w:val="0"/>
              <w:autoSpaceDN w:val="0"/>
              <w:adjustRightInd w:val="0"/>
            </w:pPr>
            <w:r w:rsidRPr="00D208CF">
              <w:t>South</w:t>
            </w:r>
          </w:p>
        </w:tc>
        <w:tc>
          <w:tcPr>
            <w:tcW w:w="2786" w:type="pct"/>
            <w:vAlign w:val="center"/>
          </w:tcPr>
          <w:p w:rsidR="00506C65" w:rsidRPr="00D208CF" w:rsidRDefault="00506C65" w:rsidP="000C2643">
            <w:pPr>
              <w:widowControl w:val="0"/>
              <w:autoSpaceDE w:val="0"/>
              <w:autoSpaceDN w:val="0"/>
              <w:adjustRightInd w:val="0"/>
              <w:jc w:val="center"/>
            </w:pPr>
            <w:r w:rsidRPr="00D208CF">
              <w:t>0.17</w:t>
            </w:r>
          </w:p>
          <w:p w:rsidR="00506C65" w:rsidRPr="00D208CF" w:rsidRDefault="00506C65" w:rsidP="000C2643">
            <w:pPr>
              <w:widowControl w:val="0"/>
              <w:autoSpaceDE w:val="0"/>
              <w:autoSpaceDN w:val="0"/>
              <w:adjustRightInd w:val="0"/>
              <w:jc w:val="center"/>
            </w:pPr>
            <w:r w:rsidRPr="00D208CF">
              <w:t>(0.13)</w:t>
            </w:r>
          </w:p>
        </w:tc>
      </w:tr>
      <w:tr w:rsidR="00506C65" w:rsidRPr="00D208CF" w:rsidTr="000C2643">
        <w:trPr>
          <w:jc w:val="center"/>
        </w:trPr>
        <w:tc>
          <w:tcPr>
            <w:tcW w:w="2214" w:type="pct"/>
            <w:vAlign w:val="center"/>
          </w:tcPr>
          <w:p w:rsidR="00506C65" w:rsidRPr="00D208CF" w:rsidRDefault="00506C65" w:rsidP="000C2643">
            <w:pPr>
              <w:widowControl w:val="0"/>
              <w:autoSpaceDE w:val="0"/>
              <w:autoSpaceDN w:val="0"/>
              <w:adjustRightInd w:val="0"/>
            </w:pPr>
            <w:r w:rsidRPr="00D208CF">
              <w:t>Employed</w:t>
            </w:r>
          </w:p>
        </w:tc>
        <w:tc>
          <w:tcPr>
            <w:tcW w:w="2786" w:type="pct"/>
            <w:vAlign w:val="center"/>
          </w:tcPr>
          <w:p w:rsidR="00506C65" w:rsidRPr="00D208CF" w:rsidRDefault="00506C65" w:rsidP="000C2643">
            <w:pPr>
              <w:widowControl w:val="0"/>
              <w:autoSpaceDE w:val="0"/>
              <w:autoSpaceDN w:val="0"/>
              <w:adjustRightInd w:val="0"/>
              <w:jc w:val="center"/>
              <w:rPr>
                <w:b/>
              </w:rPr>
            </w:pPr>
            <w:r w:rsidRPr="00D208CF">
              <w:rPr>
                <w:b/>
              </w:rPr>
              <w:t>0.35</w:t>
            </w:r>
            <w:r w:rsidR="00E23FB9">
              <w:rPr>
                <w:b/>
              </w:rPr>
              <w:t>*</w:t>
            </w:r>
          </w:p>
          <w:p w:rsidR="00506C65" w:rsidRPr="00D208CF" w:rsidRDefault="00506C65" w:rsidP="000C2643">
            <w:pPr>
              <w:widowControl w:val="0"/>
              <w:autoSpaceDE w:val="0"/>
              <w:autoSpaceDN w:val="0"/>
              <w:adjustRightInd w:val="0"/>
              <w:jc w:val="center"/>
              <w:rPr>
                <w:b/>
              </w:rPr>
            </w:pPr>
            <w:r w:rsidRPr="00D208CF">
              <w:rPr>
                <w:b/>
              </w:rPr>
              <w:t>(0.17)</w:t>
            </w:r>
          </w:p>
        </w:tc>
      </w:tr>
      <w:tr w:rsidR="00506C65" w:rsidRPr="00D208CF" w:rsidTr="000C2643">
        <w:trPr>
          <w:jc w:val="center"/>
        </w:trPr>
        <w:tc>
          <w:tcPr>
            <w:tcW w:w="2214" w:type="pct"/>
            <w:vAlign w:val="center"/>
          </w:tcPr>
          <w:p w:rsidR="00506C65" w:rsidRPr="00D208CF" w:rsidRDefault="00506C65" w:rsidP="000C2643">
            <w:pPr>
              <w:widowControl w:val="0"/>
              <w:autoSpaceDE w:val="0"/>
              <w:autoSpaceDN w:val="0"/>
              <w:adjustRightInd w:val="0"/>
            </w:pPr>
            <w:r w:rsidRPr="00D208CF">
              <w:t>Political discussion</w:t>
            </w:r>
          </w:p>
        </w:tc>
        <w:tc>
          <w:tcPr>
            <w:tcW w:w="2786" w:type="pct"/>
            <w:vAlign w:val="center"/>
          </w:tcPr>
          <w:p w:rsidR="00506C65" w:rsidRPr="00D208CF" w:rsidRDefault="00506C65" w:rsidP="000C2643">
            <w:pPr>
              <w:widowControl w:val="0"/>
              <w:autoSpaceDE w:val="0"/>
              <w:autoSpaceDN w:val="0"/>
              <w:adjustRightInd w:val="0"/>
              <w:jc w:val="center"/>
            </w:pPr>
            <w:r w:rsidRPr="00D208CF">
              <w:t>-0.69</w:t>
            </w:r>
          </w:p>
          <w:p w:rsidR="00506C65" w:rsidRPr="00D208CF" w:rsidRDefault="00506C65" w:rsidP="000C2643">
            <w:pPr>
              <w:widowControl w:val="0"/>
              <w:autoSpaceDE w:val="0"/>
              <w:autoSpaceDN w:val="0"/>
              <w:adjustRightInd w:val="0"/>
              <w:jc w:val="center"/>
            </w:pPr>
            <w:r w:rsidRPr="00D208CF">
              <w:t>(0.46)</w:t>
            </w:r>
          </w:p>
        </w:tc>
      </w:tr>
      <w:tr w:rsidR="00506C65" w:rsidRPr="00D208CF" w:rsidTr="000C2643">
        <w:trPr>
          <w:jc w:val="center"/>
        </w:trPr>
        <w:tc>
          <w:tcPr>
            <w:tcW w:w="2214" w:type="pct"/>
            <w:vAlign w:val="center"/>
          </w:tcPr>
          <w:p w:rsidR="00506C65" w:rsidRPr="00D208CF" w:rsidRDefault="00506C65" w:rsidP="000C2643">
            <w:pPr>
              <w:widowControl w:val="0"/>
              <w:autoSpaceDE w:val="0"/>
              <w:autoSpaceDN w:val="0"/>
              <w:adjustRightInd w:val="0"/>
            </w:pPr>
            <w:r w:rsidRPr="00D208CF">
              <w:t>Own home</w:t>
            </w:r>
          </w:p>
        </w:tc>
        <w:tc>
          <w:tcPr>
            <w:tcW w:w="2786" w:type="pct"/>
            <w:vAlign w:val="center"/>
          </w:tcPr>
          <w:p w:rsidR="00506C65" w:rsidRPr="00D208CF" w:rsidRDefault="00506C65" w:rsidP="000C2643">
            <w:pPr>
              <w:widowControl w:val="0"/>
              <w:autoSpaceDE w:val="0"/>
              <w:autoSpaceDN w:val="0"/>
              <w:adjustRightInd w:val="0"/>
              <w:jc w:val="center"/>
            </w:pPr>
            <w:r w:rsidRPr="00D208CF">
              <w:t>0.12</w:t>
            </w:r>
          </w:p>
          <w:p w:rsidR="00506C65" w:rsidRPr="00D208CF" w:rsidRDefault="00506C65" w:rsidP="000C2643">
            <w:pPr>
              <w:widowControl w:val="0"/>
              <w:autoSpaceDE w:val="0"/>
              <w:autoSpaceDN w:val="0"/>
              <w:adjustRightInd w:val="0"/>
              <w:jc w:val="center"/>
            </w:pPr>
            <w:r w:rsidRPr="00D208CF">
              <w:t>(0.16)</w:t>
            </w:r>
          </w:p>
        </w:tc>
      </w:tr>
      <w:tr w:rsidR="00506C65" w:rsidRPr="00D208CF" w:rsidTr="000C2643">
        <w:trPr>
          <w:jc w:val="center"/>
        </w:trPr>
        <w:tc>
          <w:tcPr>
            <w:tcW w:w="2214" w:type="pct"/>
            <w:vAlign w:val="center"/>
          </w:tcPr>
          <w:p w:rsidR="00506C65" w:rsidRPr="00D208CF" w:rsidRDefault="00506C65" w:rsidP="000C2643">
            <w:pPr>
              <w:widowControl w:val="0"/>
              <w:autoSpaceDE w:val="0"/>
              <w:autoSpaceDN w:val="0"/>
              <w:adjustRightInd w:val="0"/>
            </w:pPr>
            <w:r w:rsidRPr="00D208CF">
              <w:t>Urban</w:t>
            </w:r>
          </w:p>
        </w:tc>
        <w:tc>
          <w:tcPr>
            <w:tcW w:w="2786" w:type="pct"/>
            <w:vAlign w:val="center"/>
          </w:tcPr>
          <w:p w:rsidR="00506C65" w:rsidRPr="00D208CF" w:rsidRDefault="00506C65" w:rsidP="000C2643">
            <w:pPr>
              <w:widowControl w:val="0"/>
              <w:autoSpaceDE w:val="0"/>
              <w:autoSpaceDN w:val="0"/>
              <w:adjustRightInd w:val="0"/>
              <w:jc w:val="center"/>
              <w:rPr>
                <w:b/>
              </w:rPr>
            </w:pPr>
            <w:r w:rsidRPr="00D208CF">
              <w:rPr>
                <w:b/>
              </w:rPr>
              <w:t>-0.50</w:t>
            </w:r>
            <w:r w:rsidR="00E23FB9">
              <w:rPr>
                <w:b/>
              </w:rPr>
              <w:t>*</w:t>
            </w:r>
          </w:p>
          <w:p w:rsidR="00506C65" w:rsidRPr="00D208CF" w:rsidRDefault="00506C65" w:rsidP="000C2643">
            <w:pPr>
              <w:widowControl w:val="0"/>
              <w:autoSpaceDE w:val="0"/>
              <w:autoSpaceDN w:val="0"/>
              <w:adjustRightInd w:val="0"/>
              <w:jc w:val="center"/>
              <w:rPr>
                <w:b/>
              </w:rPr>
            </w:pPr>
            <w:r w:rsidRPr="00D208CF">
              <w:rPr>
                <w:b/>
              </w:rPr>
              <w:t>(0.16)</w:t>
            </w:r>
          </w:p>
        </w:tc>
      </w:tr>
      <w:tr w:rsidR="00506C65" w:rsidRPr="00D208CF" w:rsidTr="000C2643">
        <w:trPr>
          <w:jc w:val="center"/>
        </w:trPr>
        <w:tc>
          <w:tcPr>
            <w:tcW w:w="2214" w:type="pct"/>
            <w:vAlign w:val="center"/>
          </w:tcPr>
          <w:p w:rsidR="00506C65" w:rsidRPr="00D208CF" w:rsidRDefault="00506C65" w:rsidP="000C2643">
            <w:pPr>
              <w:widowControl w:val="0"/>
              <w:autoSpaceDE w:val="0"/>
              <w:autoSpaceDN w:val="0"/>
              <w:adjustRightInd w:val="0"/>
            </w:pPr>
            <w:r w:rsidRPr="00D208CF">
              <w:t>Constant</w:t>
            </w:r>
          </w:p>
        </w:tc>
        <w:tc>
          <w:tcPr>
            <w:tcW w:w="2786" w:type="pct"/>
            <w:vAlign w:val="center"/>
          </w:tcPr>
          <w:p w:rsidR="00506C65" w:rsidRPr="00D208CF" w:rsidRDefault="00506C65" w:rsidP="000C2643">
            <w:pPr>
              <w:widowControl w:val="0"/>
              <w:autoSpaceDE w:val="0"/>
              <w:autoSpaceDN w:val="0"/>
              <w:adjustRightInd w:val="0"/>
              <w:jc w:val="center"/>
              <w:rPr>
                <w:b/>
              </w:rPr>
            </w:pPr>
            <w:r>
              <w:rPr>
                <w:b/>
              </w:rPr>
              <w:t>-1.07</w:t>
            </w:r>
            <w:r w:rsidR="00E23FB9">
              <w:rPr>
                <w:b/>
              </w:rPr>
              <w:t>*</w:t>
            </w:r>
          </w:p>
          <w:p w:rsidR="00506C65" w:rsidRPr="00D208CF" w:rsidRDefault="00506C65" w:rsidP="000C2643">
            <w:pPr>
              <w:widowControl w:val="0"/>
              <w:autoSpaceDE w:val="0"/>
              <w:autoSpaceDN w:val="0"/>
              <w:adjustRightInd w:val="0"/>
              <w:jc w:val="center"/>
              <w:rPr>
                <w:b/>
              </w:rPr>
            </w:pPr>
            <w:r>
              <w:rPr>
                <w:b/>
              </w:rPr>
              <w:t>(0.36</w:t>
            </w:r>
            <w:r w:rsidRPr="00D208CF">
              <w:rPr>
                <w:b/>
              </w:rPr>
              <w:t>)</w:t>
            </w:r>
          </w:p>
        </w:tc>
      </w:tr>
      <w:tr w:rsidR="00506C65" w:rsidRPr="00D208CF" w:rsidTr="000C2643">
        <w:trPr>
          <w:jc w:val="center"/>
        </w:trPr>
        <w:tc>
          <w:tcPr>
            <w:tcW w:w="2214" w:type="pct"/>
            <w:vAlign w:val="center"/>
          </w:tcPr>
          <w:p w:rsidR="00506C65" w:rsidRPr="00D208CF" w:rsidRDefault="00506C65" w:rsidP="000C2643">
            <w:pPr>
              <w:widowControl w:val="0"/>
              <w:autoSpaceDE w:val="0"/>
              <w:autoSpaceDN w:val="0"/>
              <w:adjustRightInd w:val="0"/>
            </w:pPr>
            <w:r w:rsidRPr="00D208CF">
              <w:t>Observations</w:t>
            </w:r>
          </w:p>
        </w:tc>
        <w:tc>
          <w:tcPr>
            <w:tcW w:w="2786" w:type="pct"/>
            <w:vAlign w:val="center"/>
          </w:tcPr>
          <w:p w:rsidR="00506C65" w:rsidRPr="00D208CF" w:rsidRDefault="00506C65" w:rsidP="000C2643">
            <w:pPr>
              <w:widowControl w:val="0"/>
              <w:autoSpaceDE w:val="0"/>
              <w:autoSpaceDN w:val="0"/>
              <w:adjustRightInd w:val="0"/>
              <w:jc w:val="center"/>
            </w:pPr>
            <w:r w:rsidRPr="00D208CF">
              <w:t>706</w:t>
            </w:r>
          </w:p>
        </w:tc>
      </w:tr>
    </w:tbl>
    <w:p w:rsidR="00506C65" w:rsidRDefault="00506C65" w:rsidP="00506C65">
      <w:pPr>
        <w:jc w:val="both"/>
      </w:pPr>
    </w:p>
    <w:p w:rsidR="00506C65" w:rsidRDefault="00506C65" w:rsidP="00506C65">
      <w:r>
        <w:t xml:space="preserve">Note: Dependent variable is a dichotomous variable measuring whether a respondent </w:t>
      </w:r>
      <w:r w:rsidRPr="00D477B2">
        <w:t>favor</w:t>
      </w:r>
      <w:r>
        <w:t>s</w:t>
      </w:r>
      <w:r w:rsidRPr="00D477B2">
        <w:t xml:space="preserve"> or oppose</w:t>
      </w:r>
      <w:r>
        <w:t>s</w:t>
      </w:r>
      <w:r w:rsidRPr="00D477B2">
        <w:t xml:space="preserve"> Barack Obama and the Democrats' Health Care reform bill</w:t>
      </w:r>
      <w:r>
        <w:t>.</w:t>
      </w:r>
      <w:r w:rsidRPr="00383A57">
        <w:t xml:space="preserve"> </w:t>
      </w:r>
      <w:r w:rsidRPr="0099156B">
        <w:t xml:space="preserve">Numeric cell entries are coefficients, with </w:t>
      </w:r>
      <w:r>
        <w:t xml:space="preserve">standard errors in parentheses. </w:t>
      </w:r>
      <w:r w:rsidRPr="0099156B">
        <w:t xml:space="preserve">Boldface </w:t>
      </w:r>
      <w:r w:rsidR="00E23FB9">
        <w:t xml:space="preserve">and asterisk </w:t>
      </w:r>
      <w:r w:rsidRPr="0099156B">
        <w:t>indicate st</w:t>
      </w:r>
      <w:r>
        <w:t>atistical significance at the p&lt;0.05</w:t>
      </w:r>
      <w:r w:rsidRPr="0099156B">
        <w:t xml:space="preserve"> level </w:t>
      </w:r>
      <w:r>
        <w:t>(two-tailed test). Excluded from the analysis: respondents placed into the enthusiasm condition, respondents who provided text responses that indicated that the respondent did not take the treatment seriously or follow directions correctly, and respondents who completed the survey too quickly or too slowly.</w:t>
      </w:r>
    </w:p>
    <w:p w:rsidR="00506C65" w:rsidRPr="00506C65" w:rsidRDefault="00506C65" w:rsidP="003725AB">
      <w:pPr>
        <w:rPr>
          <w:b/>
        </w:rPr>
      </w:pPr>
    </w:p>
    <w:sectPr w:rsidR="00506C65" w:rsidRPr="00506C6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97E" w:rsidRDefault="00AA297E" w:rsidP="007F6DFD">
      <w:r>
        <w:separator/>
      </w:r>
    </w:p>
  </w:endnote>
  <w:endnote w:type="continuationSeparator" w:id="0">
    <w:p w:rsidR="00AA297E" w:rsidRDefault="00AA297E" w:rsidP="007F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888610"/>
      <w:docPartObj>
        <w:docPartGallery w:val="Page Numbers (Bottom of Page)"/>
        <w:docPartUnique/>
      </w:docPartObj>
    </w:sdtPr>
    <w:sdtEndPr>
      <w:rPr>
        <w:noProof/>
      </w:rPr>
    </w:sdtEndPr>
    <w:sdtContent>
      <w:p w:rsidR="00F106FA" w:rsidRDefault="00F106FA">
        <w:pPr>
          <w:pStyle w:val="Footer"/>
          <w:jc w:val="center"/>
        </w:pPr>
        <w:r>
          <w:fldChar w:fldCharType="begin"/>
        </w:r>
        <w:r>
          <w:instrText xml:space="preserve"> PAGE   \* MERGEFORMAT </w:instrText>
        </w:r>
        <w:r>
          <w:fldChar w:fldCharType="separate"/>
        </w:r>
        <w:r w:rsidR="00143732">
          <w:rPr>
            <w:noProof/>
          </w:rPr>
          <w:t>18</w:t>
        </w:r>
        <w:r>
          <w:rPr>
            <w:noProof/>
          </w:rPr>
          <w:fldChar w:fldCharType="end"/>
        </w:r>
      </w:p>
    </w:sdtContent>
  </w:sdt>
  <w:p w:rsidR="00F106FA" w:rsidRDefault="00F10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97E" w:rsidRDefault="00AA297E" w:rsidP="007F6DFD">
      <w:r>
        <w:separator/>
      </w:r>
    </w:p>
  </w:footnote>
  <w:footnote w:type="continuationSeparator" w:id="0">
    <w:p w:rsidR="00AA297E" w:rsidRDefault="00AA297E" w:rsidP="007F6DFD">
      <w:r>
        <w:continuationSeparator/>
      </w:r>
    </w:p>
  </w:footnote>
  <w:footnote w:id="1">
    <w:p w:rsidR="0005424A" w:rsidRDefault="0005424A">
      <w:pPr>
        <w:pStyle w:val="FootnoteText"/>
      </w:pPr>
      <w:r w:rsidRPr="0005424A">
        <w:rPr>
          <w:rStyle w:val="FootnoteReference"/>
          <w:sz w:val="24"/>
        </w:rPr>
        <w:footnoteRef/>
      </w:r>
      <w:r w:rsidRPr="0005424A">
        <w:rPr>
          <w:sz w:val="24"/>
        </w:rPr>
        <w:t xml:space="preserve"> </w:t>
      </w:r>
      <w:r w:rsidR="005B2B5F">
        <w:rPr>
          <w:sz w:val="24"/>
          <w:szCs w:val="24"/>
        </w:rPr>
        <w:t>However,</w:t>
      </w:r>
      <w:r w:rsidRPr="0005424A">
        <w:rPr>
          <w:sz w:val="24"/>
          <w:szCs w:val="24"/>
        </w:rPr>
        <w:t xml:space="preserve"> respective p-values for the difference in the slopes between the fear and anger condition</w:t>
      </w:r>
      <w:r w:rsidR="005017CC">
        <w:rPr>
          <w:sz w:val="24"/>
          <w:szCs w:val="24"/>
        </w:rPr>
        <w:t>s</w:t>
      </w:r>
      <w:r w:rsidRPr="0005424A">
        <w:rPr>
          <w:sz w:val="24"/>
          <w:szCs w:val="24"/>
        </w:rPr>
        <w:t xml:space="preserve"> were 0.047, 0.158, and</w:t>
      </w:r>
      <w:r w:rsidRPr="0005424A">
        <w:rPr>
          <w:sz w:val="24"/>
        </w:rPr>
        <w:t xml:space="preserve"> 0.084 when the </w:t>
      </w:r>
      <w:r>
        <w:rPr>
          <w:sz w:val="24"/>
        </w:rPr>
        <w:t>symbolic racism scale was constructed using the Stata alpha command with items standardized before scaling and cases retained if the case had substantive responses to at least three of the six symbolic racism</w:t>
      </w:r>
      <w:r w:rsidR="00184452">
        <w:rPr>
          <w:sz w:val="24"/>
        </w:rPr>
        <w:t xml:space="preserve"> items; this scale had only 2 </w:t>
      </w:r>
      <w:r w:rsidR="00FF1FA3">
        <w:rPr>
          <w:sz w:val="24"/>
        </w:rPr>
        <w:t>cases coded as missing due to non-</w:t>
      </w:r>
      <w:r w:rsidR="005017CC">
        <w:rPr>
          <w:sz w:val="24"/>
        </w:rPr>
        <w:t xml:space="preserve">substantive </w:t>
      </w:r>
      <w:r w:rsidR="00FF1FA3">
        <w:rPr>
          <w:sz w:val="24"/>
        </w:rPr>
        <w:t>response</w:t>
      </w:r>
      <w:r w:rsidR="005017CC">
        <w:rPr>
          <w:sz w:val="24"/>
        </w:rPr>
        <w:t>s</w:t>
      </w:r>
      <w:r w:rsidR="00FF1FA3">
        <w:rPr>
          <w:sz w:val="24"/>
        </w:rPr>
        <w:t>.</w:t>
      </w:r>
    </w:p>
  </w:footnote>
  <w:footnote w:id="2">
    <w:p w:rsidR="00CB467F" w:rsidRDefault="00CB467F">
      <w:pPr>
        <w:pStyle w:val="FootnoteText"/>
      </w:pPr>
      <w:r w:rsidRPr="0005424A">
        <w:rPr>
          <w:rStyle w:val="FootnoteReference"/>
          <w:sz w:val="24"/>
        </w:rPr>
        <w:footnoteRef/>
      </w:r>
      <w:r w:rsidRPr="0005424A">
        <w:rPr>
          <w:sz w:val="24"/>
        </w:rPr>
        <w:t xml:space="preserve"> Data retrieved from the Time-Sharing Experiments for the Social Sciences website did not contain data on the length of time that respondents took to answer the survey items, so this part of the Banks study could not be verified from the available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C4B3A"/>
    <w:multiLevelType w:val="hybridMultilevel"/>
    <w:tmpl w:val="559A65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635249D"/>
    <w:multiLevelType w:val="hybridMultilevel"/>
    <w:tmpl w:val="BC9C4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E21907"/>
    <w:multiLevelType w:val="hybridMultilevel"/>
    <w:tmpl w:val="8D0C8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55335F"/>
    <w:multiLevelType w:val="hybridMultilevel"/>
    <w:tmpl w:val="16D40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E32F6"/>
    <w:multiLevelType w:val="hybridMultilevel"/>
    <w:tmpl w:val="70F4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BA5A2D"/>
    <w:multiLevelType w:val="hybridMultilevel"/>
    <w:tmpl w:val="5802B9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511"/>
    <w:rsid w:val="0000120B"/>
    <w:rsid w:val="00006C7B"/>
    <w:rsid w:val="000077A1"/>
    <w:rsid w:val="00025A41"/>
    <w:rsid w:val="00032CF6"/>
    <w:rsid w:val="0005004C"/>
    <w:rsid w:val="00050C4E"/>
    <w:rsid w:val="0005424A"/>
    <w:rsid w:val="00054C75"/>
    <w:rsid w:val="00060C7B"/>
    <w:rsid w:val="00063877"/>
    <w:rsid w:val="00065AF3"/>
    <w:rsid w:val="000745D6"/>
    <w:rsid w:val="000A0499"/>
    <w:rsid w:val="000B15F6"/>
    <w:rsid w:val="000B57FA"/>
    <w:rsid w:val="000D02E4"/>
    <w:rsid w:val="000D1606"/>
    <w:rsid w:val="000E542A"/>
    <w:rsid w:val="000F42DA"/>
    <w:rsid w:val="00114183"/>
    <w:rsid w:val="00115B37"/>
    <w:rsid w:val="00123228"/>
    <w:rsid w:val="001371BF"/>
    <w:rsid w:val="00143732"/>
    <w:rsid w:val="00150EE0"/>
    <w:rsid w:val="001528FC"/>
    <w:rsid w:val="00164A76"/>
    <w:rsid w:val="00175CAF"/>
    <w:rsid w:val="00184452"/>
    <w:rsid w:val="00187EDE"/>
    <w:rsid w:val="00211CFE"/>
    <w:rsid w:val="00236C70"/>
    <w:rsid w:val="0024407E"/>
    <w:rsid w:val="002644A9"/>
    <w:rsid w:val="00273FB7"/>
    <w:rsid w:val="0029186D"/>
    <w:rsid w:val="002B13FD"/>
    <w:rsid w:val="002C13E6"/>
    <w:rsid w:val="002F5F5A"/>
    <w:rsid w:val="00334265"/>
    <w:rsid w:val="00345085"/>
    <w:rsid w:val="003639D6"/>
    <w:rsid w:val="00367EDA"/>
    <w:rsid w:val="003703EF"/>
    <w:rsid w:val="003725AB"/>
    <w:rsid w:val="00383A57"/>
    <w:rsid w:val="003845B2"/>
    <w:rsid w:val="003A407B"/>
    <w:rsid w:val="003A5591"/>
    <w:rsid w:val="004166A0"/>
    <w:rsid w:val="0042468F"/>
    <w:rsid w:val="00426935"/>
    <w:rsid w:val="0044059B"/>
    <w:rsid w:val="00440D39"/>
    <w:rsid w:val="00465C55"/>
    <w:rsid w:val="004858C2"/>
    <w:rsid w:val="00491239"/>
    <w:rsid w:val="004B6C30"/>
    <w:rsid w:val="004D1764"/>
    <w:rsid w:val="005017CC"/>
    <w:rsid w:val="00506C65"/>
    <w:rsid w:val="005624CF"/>
    <w:rsid w:val="00581B28"/>
    <w:rsid w:val="00591B50"/>
    <w:rsid w:val="005B2B5F"/>
    <w:rsid w:val="005B7615"/>
    <w:rsid w:val="005E4214"/>
    <w:rsid w:val="00627C30"/>
    <w:rsid w:val="00643ADE"/>
    <w:rsid w:val="006A4BD8"/>
    <w:rsid w:val="006F6406"/>
    <w:rsid w:val="007350E2"/>
    <w:rsid w:val="007712D6"/>
    <w:rsid w:val="00793FC9"/>
    <w:rsid w:val="007A4BE7"/>
    <w:rsid w:val="007F6DFD"/>
    <w:rsid w:val="007F7842"/>
    <w:rsid w:val="0083064C"/>
    <w:rsid w:val="008353C0"/>
    <w:rsid w:val="008913AB"/>
    <w:rsid w:val="00891ACC"/>
    <w:rsid w:val="008B1656"/>
    <w:rsid w:val="008B2751"/>
    <w:rsid w:val="008D19E6"/>
    <w:rsid w:val="008E0736"/>
    <w:rsid w:val="008E1C4C"/>
    <w:rsid w:val="00906724"/>
    <w:rsid w:val="009243E4"/>
    <w:rsid w:val="00967B9D"/>
    <w:rsid w:val="0098028F"/>
    <w:rsid w:val="0099156B"/>
    <w:rsid w:val="009A31AD"/>
    <w:rsid w:val="009B1824"/>
    <w:rsid w:val="009B4AF7"/>
    <w:rsid w:val="009F6036"/>
    <w:rsid w:val="00A0078C"/>
    <w:rsid w:val="00A13CBB"/>
    <w:rsid w:val="00A15DD0"/>
    <w:rsid w:val="00A318AA"/>
    <w:rsid w:val="00A62E2A"/>
    <w:rsid w:val="00AA0D9F"/>
    <w:rsid w:val="00AA297E"/>
    <w:rsid w:val="00AA5209"/>
    <w:rsid w:val="00AA5F9C"/>
    <w:rsid w:val="00AC76F7"/>
    <w:rsid w:val="00B23053"/>
    <w:rsid w:val="00B36F39"/>
    <w:rsid w:val="00B92862"/>
    <w:rsid w:val="00BB5F24"/>
    <w:rsid w:val="00BC1508"/>
    <w:rsid w:val="00BD1999"/>
    <w:rsid w:val="00BD61D7"/>
    <w:rsid w:val="00BD7996"/>
    <w:rsid w:val="00BE24A3"/>
    <w:rsid w:val="00BF6D6F"/>
    <w:rsid w:val="00C06011"/>
    <w:rsid w:val="00C26BCE"/>
    <w:rsid w:val="00C501A6"/>
    <w:rsid w:val="00C526EA"/>
    <w:rsid w:val="00C72CA9"/>
    <w:rsid w:val="00C73F19"/>
    <w:rsid w:val="00C80DE6"/>
    <w:rsid w:val="00C90484"/>
    <w:rsid w:val="00CA0511"/>
    <w:rsid w:val="00CB467F"/>
    <w:rsid w:val="00D0078A"/>
    <w:rsid w:val="00D03D4D"/>
    <w:rsid w:val="00D208CF"/>
    <w:rsid w:val="00D27CA9"/>
    <w:rsid w:val="00D371CE"/>
    <w:rsid w:val="00D45608"/>
    <w:rsid w:val="00D477B2"/>
    <w:rsid w:val="00DC0DE6"/>
    <w:rsid w:val="00DC4216"/>
    <w:rsid w:val="00DE65DF"/>
    <w:rsid w:val="00DF00FA"/>
    <w:rsid w:val="00E23FB9"/>
    <w:rsid w:val="00E2588F"/>
    <w:rsid w:val="00E47704"/>
    <w:rsid w:val="00E63848"/>
    <w:rsid w:val="00E72836"/>
    <w:rsid w:val="00E72B78"/>
    <w:rsid w:val="00E869CD"/>
    <w:rsid w:val="00E8747C"/>
    <w:rsid w:val="00E9079F"/>
    <w:rsid w:val="00E92E21"/>
    <w:rsid w:val="00E9379B"/>
    <w:rsid w:val="00EA7BBF"/>
    <w:rsid w:val="00EB654E"/>
    <w:rsid w:val="00EE3092"/>
    <w:rsid w:val="00EE5FEB"/>
    <w:rsid w:val="00F106FA"/>
    <w:rsid w:val="00F157BA"/>
    <w:rsid w:val="00F81EF0"/>
    <w:rsid w:val="00F900BB"/>
    <w:rsid w:val="00F90C5F"/>
    <w:rsid w:val="00FE23CD"/>
    <w:rsid w:val="00FE3B35"/>
    <w:rsid w:val="00FF1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F0"/>
    <w:pPr>
      <w:ind w:left="720"/>
      <w:contextualSpacing/>
    </w:pPr>
  </w:style>
  <w:style w:type="paragraph" w:styleId="BalloonText">
    <w:name w:val="Balloon Text"/>
    <w:basedOn w:val="Normal"/>
    <w:link w:val="BalloonTextChar"/>
    <w:uiPriority w:val="99"/>
    <w:semiHidden/>
    <w:unhideWhenUsed/>
    <w:rsid w:val="0099156B"/>
    <w:rPr>
      <w:rFonts w:ascii="Tahoma" w:hAnsi="Tahoma" w:cs="Tahoma"/>
      <w:sz w:val="16"/>
      <w:szCs w:val="16"/>
    </w:rPr>
  </w:style>
  <w:style w:type="character" w:customStyle="1" w:styleId="BalloonTextChar">
    <w:name w:val="Balloon Text Char"/>
    <w:basedOn w:val="DefaultParagraphFont"/>
    <w:link w:val="BalloonText"/>
    <w:uiPriority w:val="99"/>
    <w:semiHidden/>
    <w:rsid w:val="0099156B"/>
    <w:rPr>
      <w:rFonts w:ascii="Tahoma" w:hAnsi="Tahoma" w:cs="Tahoma"/>
      <w:sz w:val="16"/>
      <w:szCs w:val="16"/>
    </w:rPr>
  </w:style>
  <w:style w:type="table" w:styleId="TableGrid">
    <w:name w:val="Table Grid"/>
    <w:basedOn w:val="TableNormal"/>
    <w:rsid w:val="00032CF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DFD"/>
    <w:pPr>
      <w:tabs>
        <w:tab w:val="center" w:pos="4680"/>
        <w:tab w:val="right" w:pos="9360"/>
      </w:tabs>
    </w:pPr>
  </w:style>
  <w:style w:type="character" w:customStyle="1" w:styleId="HeaderChar">
    <w:name w:val="Header Char"/>
    <w:basedOn w:val="DefaultParagraphFont"/>
    <w:link w:val="Header"/>
    <w:uiPriority w:val="99"/>
    <w:rsid w:val="007F6DFD"/>
    <w:rPr>
      <w:rFonts w:asciiTheme="majorHAnsi" w:hAnsiTheme="majorHAnsi"/>
    </w:rPr>
  </w:style>
  <w:style w:type="paragraph" w:styleId="Footer">
    <w:name w:val="footer"/>
    <w:basedOn w:val="Normal"/>
    <w:link w:val="FooterChar"/>
    <w:uiPriority w:val="99"/>
    <w:unhideWhenUsed/>
    <w:rsid w:val="007F6DFD"/>
    <w:pPr>
      <w:tabs>
        <w:tab w:val="center" w:pos="4680"/>
        <w:tab w:val="right" w:pos="9360"/>
      </w:tabs>
    </w:pPr>
  </w:style>
  <w:style w:type="character" w:customStyle="1" w:styleId="FooterChar">
    <w:name w:val="Footer Char"/>
    <w:basedOn w:val="DefaultParagraphFont"/>
    <w:link w:val="Footer"/>
    <w:uiPriority w:val="99"/>
    <w:rsid w:val="007F6DFD"/>
    <w:rPr>
      <w:rFonts w:asciiTheme="majorHAnsi" w:hAnsiTheme="majorHAnsi"/>
    </w:rPr>
  </w:style>
  <w:style w:type="character" w:styleId="Hyperlink">
    <w:name w:val="Hyperlink"/>
    <w:basedOn w:val="DefaultParagraphFont"/>
    <w:uiPriority w:val="99"/>
    <w:unhideWhenUsed/>
    <w:rsid w:val="00060C7B"/>
    <w:rPr>
      <w:color w:val="0000FF" w:themeColor="hyperlink"/>
      <w:u w:val="single"/>
    </w:rPr>
  </w:style>
  <w:style w:type="paragraph" w:styleId="FootnoteText">
    <w:name w:val="footnote text"/>
    <w:basedOn w:val="Normal"/>
    <w:link w:val="FootnoteTextChar"/>
    <w:uiPriority w:val="99"/>
    <w:semiHidden/>
    <w:unhideWhenUsed/>
    <w:rsid w:val="00CB467F"/>
    <w:rPr>
      <w:sz w:val="20"/>
      <w:szCs w:val="20"/>
    </w:rPr>
  </w:style>
  <w:style w:type="character" w:customStyle="1" w:styleId="FootnoteTextChar">
    <w:name w:val="Footnote Text Char"/>
    <w:basedOn w:val="DefaultParagraphFont"/>
    <w:link w:val="FootnoteText"/>
    <w:uiPriority w:val="99"/>
    <w:semiHidden/>
    <w:rsid w:val="00CB467F"/>
    <w:rPr>
      <w:rFonts w:asciiTheme="majorHAnsi" w:hAnsiTheme="majorHAnsi"/>
      <w:sz w:val="20"/>
      <w:szCs w:val="20"/>
    </w:rPr>
  </w:style>
  <w:style w:type="character" w:styleId="FootnoteReference">
    <w:name w:val="footnote reference"/>
    <w:basedOn w:val="DefaultParagraphFont"/>
    <w:uiPriority w:val="99"/>
    <w:semiHidden/>
    <w:unhideWhenUsed/>
    <w:rsid w:val="00CB467F"/>
    <w:rPr>
      <w:vertAlign w:val="superscript"/>
    </w:rPr>
  </w:style>
  <w:style w:type="character" w:styleId="CommentReference">
    <w:name w:val="annotation reference"/>
    <w:basedOn w:val="DefaultParagraphFont"/>
    <w:uiPriority w:val="99"/>
    <w:semiHidden/>
    <w:unhideWhenUsed/>
    <w:rsid w:val="00184452"/>
    <w:rPr>
      <w:sz w:val="16"/>
      <w:szCs w:val="16"/>
    </w:rPr>
  </w:style>
  <w:style w:type="paragraph" w:styleId="CommentText">
    <w:name w:val="annotation text"/>
    <w:basedOn w:val="Normal"/>
    <w:link w:val="CommentTextChar"/>
    <w:uiPriority w:val="99"/>
    <w:semiHidden/>
    <w:unhideWhenUsed/>
    <w:rsid w:val="00184452"/>
    <w:rPr>
      <w:sz w:val="20"/>
      <w:szCs w:val="20"/>
    </w:rPr>
  </w:style>
  <w:style w:type="character" w:customStyle="1" w:styleId="CommentTextChar">
    <w:name w:val="Comment Text Char"/>
    <w:basedOn w:val="DefaultParagraphFont"/>
    <w:link w:val="CommentText"/>
    <w:uiPriority w:val="99"/>
    <w:semiHidden/>
    <w:rsid w:val="0018445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184452"/>
    <w:rPr>
      <w:b/>
      <w:bCs/>
    </w:rPr>
  </w:style>
  <w:style w:type="character" w:customStyle="1" w:styleId="CommentSubjectChar">
    <w:name w:val="Comment Subject Char"/>
    <w:basedOn w:val="CommentTextChar"/>
    <w:link w:val="CommentSubject"/>
    <w:uiPriority w:val="99"/>
    <w:semiHidden/>
    <w:rsid w:val="00184452"/>
    <w:rPr>
      <w:rFonts w:asciiTheme="majorHAnsi" w:hAnsiTheme="maj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F0"/>
    <w:pPr>
      <w:ind w:left="720"/>
      <w:contextualSpacing/>
    </w:pPr>
  </w:style>
  <w:style w:type="paragraph" w:styleId="BalloonText">
    <w:name w:val="Balloon Text"/>
    <w:basedOn w:val="Normal"/>
    <w:link w:val="BalloonTextChar"/>
    <w:uiPriority w:val="99"/>
    <w:semiHidden/>
    <w:unhideWhenUsed/>
    <w:rsid w:val="0099156B"/>
    <w:rPr>
      <w:rFonts w:ascii="Tahoma" w:hAnsi="Tahoma" w:cs="Tahoma"/>
      <w:sz w:val="16"/>
      <w:szCs w:val="16"/>
    </w:rPr>
  </w:style>
  <w:style w:type="character" w:customStyle="1" w:styleId="BalloonTextChar">
    <w:name w:val="Balloon Text Char"/>
    <w:basedOn w:val="DefaultParagraphFont"/>
    <w:link w:val="BalloonText"/>
    <w:uiPriority w:val="99"/>
    <w:semiHidden/>
    <w:rsid w:val="0099156B"/>
    <w:rPr>
      <w:rFonts w:ascii="Tahoma" w:hAnsi="Tahoma" w:cs="Tahoma"/>
      <w:sz w:val="16"/>
      <w:szCs w:val="16"/>
    </w:rPr>
  </w:style>
  <w:style w:type="table" w:styleId="TableGrid">
    <w:name w:val="Table Grid"/>
    <w:basedOn w:val="TableNormal"/>
    <w:rsid w:val="00032CF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DFD"/>
    <w:pPr>
      <w:tabs>
        <w:tab w:val="center" w:pos="4680"/>
        <w:tab w:val="right" w:pos="9360"/>
      </w:tabs>
    </w:pPr>
  </w:style>
  <w:style w:type="character" w:customStyle="1" w:styleId="HeaderChar">
    <w:name w:val="Header Char"/>
    <w:basedOn w:val="DefaultParagraphFont"/>
    <w:link w:val="Header"/>
    <w:uiPriority w:val="99"/>
    <w:rsid w:val="007F6DFD"/>
    <w:rPr>
      <w:rFonts w:asciiTheme="majorHAnsi" w:hAnsiTheme="majorHAnsi"/>
    </w:rPr>
  </w:style>
  <w:style w:type="paragraph" w:styleId="Footer">
    <w:name w:val="footer"/>
    <w:basedOn w:val="Normal"/>
    <w:link w:val="FooterChar"/>
    <w:uiPriority w:val="99"/>
    <w:unhideWhenUsed/>
    <w:rsid w:val="007F6DFD"/>
    <w:pPr>
      <w:tabs>
        <w:tab w:val="center" w:pos="4680"/>
        <w:tab w:val="right" w:pos="9360"/>
      </w:tabs>
    </w:pPr>
  </w:style>
  <w:style w:type="character" w:customStyle="1" w:styleId="FooterChar">
    <w:name w:val="Footer Char"/>
    <w:basedOn w:val="DefaultParagraphFont"/>
    <w:link w:val="Footer"/>
    <w:uiPriority w:val="99"/>
    <w:rsid w:val="007F6DFD"/>
    <w:rPr>
      <w:rFonts w:asciiTheme="majorHAnsi" w:hAnsiTheme="majorHAnsi"/>
    </w:rPr>
  </w:style>
  <w:style w:type="character" w:styleId="Hyperlink">
    <w:name w:val="Hyperlink"/>
    <w:basedOn w:val="DefaultParagraphFont"/>
    <w:uiPriority w:val="99"/>
    <w:unhideWhenUsed/>
    <w:rsid w:val="00060C7B"/>
    <w:rPr>
      <w:color w:val="0000FF" w:themeColor="hyperlink"/>
      <w:u w:val="single"/>
    </w:rPr>
  </w:style>
  <w:style w:type="paragraph" w:styleId="FootnoteText">
    <w:name w:val="footnote text"/>
    <w:basedOn w:val="Normal"/>
    <w:link w:val="FootnoteTextChar"/>
    <w:uiPriority w:val="99"/>
    <w:semiHidden/>
    <w:unhideWhenUsed/>
    <w:rsid w:val="00CB467F"/>
    <w:rPr>
      <w:sz w:val="20"/>
      <w:szCs w:val="20"/>
    </w:rPr>
  </w:style>
  <w:style w:type="character" w:customStyle="1" w:styleId="FootnoteTextChar">
    <w:name w:val="Footnote Text Char"/>
    <w:basedOn w:val="DefaultParagraphFont"/>
    <w:link w:val="FootnoteText"/>
    <w:uiPriority w:val="99"/>
    <w:semiHidden/>
    <w:rsid w:val="00CB467F"/>
    <w:rPr>
      <w:rFonts w:asciiTheme="majorHAnsi" w:hAnsiTheme="majorHAnsi"/>
      <w:sz w:val="20"/>
      <w:szCs w:val="20"/>
    </w:rPr>
  </w:style>
  <w:style w:type="character" w:styleId="FootnoteReference">
    <w:name w:val="footnote reference"/>
    <w:basedOn w:val="DefaultParagraphFont"/>
    <w:uiPriority w:val="99"/>
    <w:semiHidden/>
    <w:unhideWhenUsed/>
    <w:rsid w:val="00CB467F"/>
    <w:rPr>
      <w:vertAlign w:val="superscript"/>
    </w:rPr>
  </w:style>
  <w:style w:type="character" w:styleId="CommentReference">
    <w:name w:val="annotation reference"/>
    <w:basedOn w:val="DefaultParagraphFont"/>
    <w:uiPriority w:val="99"/>
    <w:semiHidden/>
    <w:unhideWhenUsed/>
    <w:rsid w:val="00184452"/>
    <w:rPr>
      <w:sz w:val="16"/>
      <w:szCs w:val="16"/>
    </w:rPr>
  </w:style>
  <w:style w:type="paragraph" w:styleId="CommentText">
    <w:name w:val="annotation text"/>
    <w:basedOn w:val="Normal"/>
    <w:link w:val="CommentTextChar"/>
    <w:uiPriority w:val="99"/>
    <w:semiHidden/>
    <w:unhideWhenUsed/>
    <w:rsid w:val="00184452"/>
    <w:rPr>
      <w:sz w:val="20"/>
      <w:szCs w:val="20"/>
    </w:rPr>
  </w:style>
  <w:style w:type="character" w:customStyle="1" w:styleId="CommentTextChar">
    <w:name w:val="Comment Text Char"/>
    <w:basedOn w:val="DefaultParagraphFont"/>
    <w:link w:val="CommentText"/>
    <w:uiPriority w:val="99"/>
    <w:semiHidden/>
    <w:rsid w:val="0018445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184452"/>
    <w:rPr>
      <w:b/>
      <w:bCs/>
    </w:rPr>
  </w:style>
  <w:style w:type="character" w:customStyle="1" w:styleId="CommentSubjectChar">
    <w:name w:val="Comment Subject Char"/>
    <w:basedOn w:val="CommentTextChar"/>
    <w:link w:val="CommentSubject"/>
    <w:uiPriority w:val="99"/>
    <w:semiHidden/>
    <w:rsid w:val="00184452"/>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uters.com/article/2009/11/18/us-usa-healthcare-idUSN18125877200911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sci.wordpress.com/2012/09/27/a-pottery-barn-rule-for-scientific-journal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actcheck.org/2009/08/keep-your-insurance-not-everyone/" TargetMode="External"/><Relationship Id="rId4" Type="http://schemas.microsoft.com/office/2007/relationships/stylesWithEffects" Target="stylesWithEffects.xml"/><Relationship Id="rId9" Type="http://schemas.openxmlformats.org/officeDocument/2006/relationships/hyperlink" Target="http://www.politifact.com/truth-o-meter/article/2009/dec/18/politifact-lie-year-death-pane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A2F98-8520-464A-9727-1E1EF7BF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18</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c:creator>
  <cp:lastModifiedBy>L.J</cp:lastModifiedBy>
  <cp:revision>27</cp:revision>
  <dcterms:created xsi:type="dcterms:W3CDTF">2015-03-18T15:20:00Z</dcterms:created>
  <dcterms:modified xsi:type="dcterms:W3CDTF">2015-03-28T20:42:00Z</dcterms:modified>
</cp:coreProperties>
</file>