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A939" w14:textId="2FB32ECF" w:rsidR="00550392" w:rsidRPr="006E2616" w:rsidRDefault="00550392" w:rsidP="00550392">
      <w:pPr>
        <w:pStyle w:val="Heading2"/>
      </w:pPr>
      <w:r w:rsidRPr="006E2616">
        <w:t>POL 138 Quantitative Reasoning in Political Science</w:t>
      </w:r>
    </w:p>
    <w:p w14:paraId="78AFDD72" w14:textId="7A2E0C3D" w:rsidR="00FD23BF" w:rsidRPr="006E2616" w:rsidRDefault="00F97BD6" w:rsidP="00F97BD6">
      <w:pPr>
        <w:pStyle w:val="Heading2"/>
      </w:pPr>
      <w:bookmarkStart w:id="0" w:name="_Hlk62727359"/>
      <w:r w:rsidRPr="006E2616">
        <w:t xml:space="preserve">Practice for the </w:t>
      </w:r>
      <w:r w:rsidR="00770015" w:rsidRPr="006E2616">
        <w:t xml:space="preserve">Final </w:t>
      </w:r>
      <w:r w:rsidR="00550392" w:rsidRPr="006E2616">
        <w:t>Exam</w:t>
      </w:r>
      <w:r w:rsidR="00785BFF" w:rsidRPr="006E2616">
        <w:t xml:space="preserve"> </w:t>
      </w:r>
      <w:bookmarkEnd w:id="0"/>
      <w:r w:rsidR="00A06EA6">
        <w:t>1</w:t>
      </w:r>
    </w:p>
    <w:p w14:paraId="63199575" w14:textId="77777777" w:rsidR="00F97BD6" w:rsidRPr="006E2616" w:rsidRDefault="00F97BD6" w:rsidP="00F97BD6"/>
    <w:p w14:paraId="5CE4D88D" w14:textId="0D69C570" w:rsidR="00BA161F" w:rsidRPr="006E2616" w:rsidRDefault="00BA161F" w:rsidP="006E2616">
      <w:pPr>
        <w:pStyle w:val="ListParagraph"/>
        <w:ind w:left="360"/>
        <w:rPr>
          <w:rStyle w:val="normaltextrun"/>
        </w:rPr>
      </w:pPr>
      <w:r w:rsidRPr="006E2616">
        <w:rPr>
          <w:rStyle w:val="normaltextrun"/>
        </w:rPr>
        <w:t xml:space="preserve">The table below indicates that, among a hypothetical set of men academics and women academics, </w:t>
      </w:r>
      <w:r w:rsidR="00234C99">
        <w:rPr>
          <w:rStyle w:val="normaltextrun"/>
        </w:rPr>
        <w:t>5</w:t>
      </w:r>
      <w:r w:rsidR="008D74A7">
        <w:rPr>
          <w:rStyle w:val="normaltextrun"/>
        </w:rPr>
        <w:t>7</w:t>
      </w:r>
      <w:r w:rsidRPr="006E2616">
        <w:rPr>
          <w:rStyle w:val="normaltextrun"/>
        </w:rPr>
        <w:t xml:space="preserve"> percent of men who applied for tenure received tenure, </w:t>
      </w:r>
      <w:r w:rsidR="00234C99">
        <w:rPr>
          <w:rStyle w:val="normaltextrun"/>
        </w:rPr>
        <w:t>and 5</w:t>
      </w:r>
      <w:r w:rsidR="008D74A7">
        <w:rPr>
          <w:rStyle w:val="normaltextrun"/>
        </w:rPr>
        <w:t>7</w:t>
      </w:r>
      <w:r w:rsidRPr="006E2616">
        <w:rPr>
          <w:rStyle w:val="normaltextrun"/>
        </w:rPr>
        <w:t xml:space="preserve"> percent of women who applied for tenure received tenure. </w:t>
      </w:r>
    </w:p>
    <w:p w14:paraId="5254711D" w14:textId="77777777" w:rsidR="00BA161F" w:rsidRPr="006E2616" w:rsidRDefault="00BA161F" w:rsidP="00BA161F"/>
    <w:tbl>
      <w:tblPr>
        <w:tblW w:w="0" w:type="auto"/>
        <w:jc w:val="center"/>
        <w:tblLook w:val="04A0" w:firstRow="1" w:lastRow="0" w:firstColumn="1" w:lastColumn="0" w:noHBand="0" w:noVBand="1"/>
      </w:tblPr>
      <w:tblGrid>
        <w:gridCol w:w="963"/>
        <w:gridCol w:w="936"/>
        <w:gridCol w:w="222"/>
        <w:gridCol w:w="1080"/>
        <w:gridCol w:w="1049"/>
      </w:tblGrid>
      <w:tr w:rsidR="00BA161F" w:rsidRPr="006E2616" w14:paraId="0F3BCF2B" w14:textId="77777777" w:rsidTr="0094239A">
        <w:trPr>
          <w:trHeight w:val="300"/>
          <w:jc w:val="center"/>
        </w:trPr>
        <w:tc>
          <w:tcPr>
            <w:tcW w:w="0" w:type="auto"/>
            <w:gridSpan w:val="2"/>
            <w:tcBorders>
              <w:top w:val="single" w:sz="8" w:space="0" w:color="auto"/>
              <w:bottom w:val="single" w:sz="4" w:space="0" w:color="auto"/>
            </w:tcBorders>
            <w:shd w:val="clear" w:color="auto" w:fill="auto"/>
            <w:noWrap/>
            <w:vAlign w:val="center"/>
          </w:tcPr>
          <w:p w14:paraId="0C8441DA"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Men academics</w:t>
            </w:r>
          </w:p>
        </w:tc>
        <w:tc>
          <w:tcPr>
            <w:tcW w:w="0" w:type="auto"/>
            <w:tcBorders>
              <w:top w:val="single" w:sz="8" w:space="0" w:color="auto"/>
              <w:bottom w:val="single" w:sz="4" w:space="0" w:color="auto"/>
            </w:tcBorders>
            <w:shd w:val="clear" w:color="auto" w:fill="auto"/>
            <w:vAlign w:val="center"/>
          </w:tcPr>
          <w:p w14:paraId="48DEF347" w14:textId="77777777" w:rsidR="00BA161F" w:rsidRPr="006E2616" w:rsidRDefault="00BA161F" w:rsidP="00BA161F">
            <w:pPr>
              <w:jc w:val="center"/>
              <w:rPr>
                <w:rFonts w:eastAsia="Times New Roman" w:cs="Times New Roman"/>
                <w:b/>
                <w:bCs w:val="0"/>
                <w:color w:val="000000"/>
              </w:rPr>
            </w:pPr>
          </w:p>
        </w:tc>
        <w:tc>
          <w:tcPr>
            <w:tcW w:w="0" w:type="auto"/>
            <w:gridSpan w:val="2"/>
            <w:tcBorders>
              <w:top w:val="single" w:sz="8" w:space="0" w:color="auto"/>
              <w:bottom w:val="single" w:sz="4" w:space="0" w:color="auto"/>
            </w:tcBorders>
            <w:shd w:val="clear" w:color="auto" w:fill="auto"/>
            <w:vAlign w:val="center"/>
          </w:tcPr>
          <w:p w14:paraId="2C27D5A4"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Women academics</w:t>
            </w:r>
          </w:p>
        </w:tc>
      </w:tr>
      <w:tr w:rsidR="00BA161F" w:rsidRPr="006E2616" w14:paraId="10C7A23E" w14:textId="77777777" w:rsidTr="0094239A">
        <w:trPr>
          <w:trHeight w:val="300"/>
          <w:jc w:val="center"/>
        </w:trPr>
        <w:tc>
          <w:tcPr>
            <w:tcW w:w="0" w:type="auto"/>
            <w:tcBorders>
              <w:top w:val="single" w:sz="4" w:space="0" w:color="auto"/>
              <w:bottom w:val="single" w:sz="8" w:space="0" w:color="auto"/>
            </w:tcBorders>
            <w:shd w:val="clear" w:color="auto" w:fill="auto"/>
            <w:noWrap/>
            <w:vAlign w:val="center"/>
            <w:hideMark/>
          </w:tcPr>
          <w:p w14:paraId="04876F41"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Tenure</w:t>
            </w:r>
          </w:p>
        </w:tc>
        <w:tc>
          <w:tcPr>
            <w:tcW w:w="0" w:type="auto"/>
            <w:tcBorders>
              <w:top w:val="single" w:sz="4" w:space="0" w:color="auto"/>
              <w:bottom w:val="single" w:sz="8" w:space="0" w:color="auto"/>
            </w:tcBorders>
            <w:shd w:val="clear" w:color="auto" w:fill="auto"/>
            <w:noWrap/>
            <w:vAlign w:val="center"/>
            <w:hideMark/>
          </w:tcPr>
          <w:p w14:paraId="5AC3C0CA" w14:textId="1287B6A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Grants</w:t>
            </w:r>
          </w:p>
        </w:tc>
        <w:tc>
          <w:tcPr>
            <w:tcW w:w="0" w:type="auto"/>
            <w:tcBorders>
              <w:top w:val="single" w:sz="4" w:space="0" w:color="auto"/>
              <w:bottom w:val="single" w:sz="8" w:space="0" w:color="auto"/>
            </w:tcBorders>
            <w:shd w:val="clear" w:color="auto" w:fill="auto"/>
            <w:vAlign w:val="center"/>
          </w:tcPr>
          <w:p w14:paraId="22C7FDB8" w14:textId="77777777" w:rsidR="00BA161F" w:rsidRPr="006E2616" w:rsidRDefault="00BA161F" w:rsidP="00BA161F">
            <w:pPr>
              <w:jc w:val="center"/>
              <w:rPr>
                <w:rFonts w:eastAsia="Times New Roman" w:cs="Times New Roman"/>
                <w:b/>
                <w:bCs w:val="0"/>
                <w:color w:val="000000"/>
              </w:rPr>
            </w:pPr>
          </w:p>
        </w:tc>
        <w:tc>
          <w:tcPr>
            <w:tcW w:w="0" w:type="auto"/>
            <w:tcBorders>
              <w:top w:val="single" w:sz="4" w:space="0" w:color="auto"/>
              <w:bottom w:val="single" w:sz="8" w:space="0" w:color="auto"/>
            </w:tcBorders>
            <w:shd w:val="clear" w:color="auto" w:fill="auto"/>
            <w:vAlign w:val="center"/>
          </w:tcPr>
          <w:p w14:paraId="6D5D4ABE" w14:textId="77777777"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Tenure</w:t>
            </w:r>
          </w:p>
        </w:tc>
        <w:tc>
          <w:tcPr>
            <w:tcW w:w="0" w:type="auto"/>
            <w:tcBorders>
              <w:top w:val="single" w:sz="4" w:space="0" w:color="auto"/>
              <w:bottom w:val="single" w:sz="8" w:space="0" w:color="auto"/>
            </w:tcBorders>
            <w:shd w:val="clear" w:color="auto" w:fill="auto"/>
            <w:vAlign w:val="center"/>
          </w:tcPr>
          <w:p w14:paraId="2F093F21" w14:textId="780903F5" w:rsidR="00BA161F" w:rsidRPr="006E2616" w:rsidRDefault="00BA161F" w:rsidP="00BA161F">
            <w:pPr>
              <w:jc w:val="center"/>
              <w:rPr>
                <w:rFonts w:eastAsia="Times New Roman" w:cs="Times New Roman"/>
                <w:b/>
                <w:bCs w:val="0"/>
                <w:color w:val="000000"/>
              </w:rPr>
            </w:pPr>
            <w:r w:rsidRPr="006E2616">
              <w:rPr>
                <w:rFonts w:eastAsia="Times New Roman" w:cs="Times New Roman"/>
                <w:b/>
                <w:bCs w:val="0"/>
                <w:color w:val="000000"/>
              </w:rPr>
              <w:t>Grants</w:t>
            </w:r>
          </w:p>
        </w:tc>
      </w:tr>
      <w:tr w:rsidR="00BA161F" w:rsidRPr="006E2616" w14:paraId="0BE54127" w14:textId="77777777" w:rsidTr="0094239A">
        <w:trPr>
          <w:trHeight w:val="300"/>
          <w:jc w:val="center"/>
        </w:trPr>
        <w:tc>
          <w:tcPr>
            <w:tcW w:w="0" w:type="auto"/>
            <w:tcBorders>
              <w:top w:val="single" w:sz="8" w:space="0" w:color="auto"/>
            </w:tcBorders>
            <w:shd w:val="clear" w:color="auto" w:fill="auto"/>
            <w:noWrap/>
            <w:vAlign w:val="center"/>
          </w:tcPr>
          <w:p w14:paraId="55A7E26A" w14:textId="77777777" w:rsidR="00BA161F" w:rsidRPr="006E2616" w:rsidRDefault="00BA161F" w:rsidP="00BA161F">
            <w:pPr>
              <w:jc w:val="center"/>
              <w:rPr>
                <w:rFonts w:eastAsia="Times New Roman" w:cs="Times New Roman"/>
                <w:color w:val="000000"/>
              </w:rPr>
            </w:pPr>
            <w:r w:rsidRPr="006E2616">
              <w:rPr>
                <w:rFonts w:eastAsia="Times New Roman" w:cs="Times New Roman"/>
                <w:color w:val="000000"/>
              </w:rPr>
              <w:t>No</w:t>
            </w:r>
          </w:p>
        </w:tc>
        <w:tc>
          <w:tcPr>
            <w:tcW w:w="0" w:type="auto"/>
            <w:tcBorders>
              <w:top w:val="single" w:sz="8" w:space="0" w:color="auto"/>
            </w:tcBorders>
            <w:shd w:val="clear" w:color="auto" w:fill="auto"/>
            <w:noWrap/>
            <w:vAlign w:val="center"/>
          </w:tcPr>
          <w:p w14:paraId="24A5D7B3" w14:textId="62A5E92F" w:rsidR="00BA161F" w:rsidRPr="006E2616" w:rsidRDefault="00BA161F" w:rsidP="00BA161F">
            <w:pPr>
              <w:jc w:val="center"/>
              <w:rPr>
                <w:rFonts w:eastAsia="Times New Roman" w:cs="Times New Roman"/>
                <w:color w:val="000000"/>
              </w:rPr>
            </w:pPr>
            <w:r w:rsidRPr="006E2616">
              <w:rPr>
                <w:rFonts w:eastAsia="Times New Roman" w:cs="Times New Roman"/>
                <w:color w:val="000000"/>
              </w:rPr>
              <w:t>0</w:t>
            </w:r>
          </w:p>
        </w:tc>
        <w:tc>
          <w:tcPr>
            <w:tcW w:w="0" w:type="auto"/>
            <w:tcBorders>
              <w:top w:val="single" w:sz="8" w:space="0" w:color="auto"/>
            </w:tcBorders>
            <w:shd w:val="clear" w:color="auto" w:fill="auto"/>
            <w:vAlign w:val="center"/>
          </w:tcPr>
          <w:p w14:paraId="0950A3AE" w14:textId="77777777" w:rsidR="00BA161F" w:rsidRPr="006E2616" w:rsidRDefault="00BA161F" w:rsidP="00BA161F">
            <w:pPr>
              <w:jc w:val="center"/>
              <w:rPr>
                <w:rFonts w:eastAsia="Times New Roman" w:cs="Times New Roman"/>
                <w:color w:val="000000"/>
              </w:rPr>
            </w:pPr>
          </w:p>
        </w:tc>
        <w:tc>
          <w:tcPr>
            <w:tcW w:w="0" w:type="auto"/>
            <w:tcBorders>
              <w:top w:val="single" w:sz="8" w:space="0" w:color="auto"/>
            </w:tcBorders>
            <w:shd w:val="clear" w:color="auto" w:fill="auto"/>
            <w:vAlign w:val="center"/>
          </w:tcPr>
          <w:p w14:paraId="75A3FFC8" w14:textId="77777777" w:rsidR="00BA161F" w:rsidRPr="006E2616" w:rsidRDefault="00BA161F" w:rsidP="00BA161F">
            <w:pPr>
              <w:jc w:val="center"/>
              <w:rPr>
                <w:rFonts w:eastAsia="Times New Roman" w:cs="Times New Roman"/>
                <w:color w:val="000000"/>
              </w:rPr>
            </w:pPr>
            <w:r w:rsidRPr="006E2616">
              <w:rPr>
                <w:rFonts w:eastAsia="Times New Roman" w:cs="Times New Roman"/>
                <w:color w:val="000000"/>
              </w:rPr>
              <w:t>No</w:t>
            </w:r>
          </w:p>
        </w:tc>
        <w:tc>
          <w:tcPr>
            <w:tcW w:w="0" w:type="auto"/>
            <w:tcBorders>
              <w:top w:val="single" w:sz="8" w:space="0" w:color="auto"/>
            </w:tcBorders>
            <w:shd w:val="clear" w:color="auto" w:fill="auto"/>
            <w:vAlign w:val="center"/>
          </w:tcPr>
          <w:p w14:paraId="2F9896FD" w14:textId="2FC6ADF2" w:rsidR="00BA161F" w:rsidRPr="006E2616" w:rsidRDefault="00BA161F" w:rsidP="00BA161F">
            <w:pPr>
              <w:jc w:val="center"/>
              <w:rPr>
                <w:rFonts w:eastAsia="Times New Roman" w:cs="Times New Roman"/>
                <w:color w:val="000000"/>
              </w:rPr>
            </w:pPr>
            <w:r w:rsidRPr="006E2616">
              <w:rPr>
                <w:rFonts w:eastAsia="Times New Roman" w:cs="Times New Roman"/>
                <w:color w:val="000000"/>
              </w:rPr>
              <w:t>0</w:t>
            </w:r>
          </w:p>
        </w:tc>
      </w:tr>
      <w:tr w:rsidR="00234C99" w:rsidRPr="006E2616" w14:paraId="5F1024E2" w14:textId="77777777" w:rsidTr="0094239A">
        <w:trPr>
          <w:trHeight w:val="300"/>
          <w:jc w:val="center"/>
        </w:trPr>
        <w:tc>
          <w:tcPr>
            <w:tcW w:w="0" w:type="auto"/>
            <w:shd w:val="clear" w:color="auto" w:fill="auto"/>
            <w:noWrap/>
            <w:vAlign w:val="center"/>
          </w:tcPr>
          <w:p w14:paraId="03D3322F" w14:textId="7F51ACE5" w:rsidR="00234C99" w:rsidRPr="006E2616" w:rsidRDefault="00234C99"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noWrap/>
            <w:vAlign w:val="center"/>
          </w:tcPr>
          <w:p w14:paraId="5838D67E" w14:textId="7B62C167" w:rsidR="00234C99" w:rsidRPr="006E2616" w:rsidRDefault="00234C99" w:rsidP="00234C99">
            <w:pPr>
              <w:jc w:val="center"/>
              <w:rPr>
                <w:rFonts w:eastAsia="Times New Roman" w:cs="Times New Roman"/>
                <w:color w:val="000000"/>
              </w:rPr>
            </w:pPr>
            <w:r>
              <w:rPr>
                <w:rFonts w:eastAsia="Times New Roman" w:cs="Times New Roman"/>
                <w:color w:val="000000"/>
              </w:rPr>
              <w:t>1</w:t>
            </w:r>
          </w:p>
        </w:tc>
        <w:tc>
          <w:tcPr>
            <w:tcW w:w="0" w:type="auto"/>
            <w:shd w:val="clear" w:color="auto" w:fill="auto"/>
            <w:vAlign w:val="center"/>
          </w:tcPr>
          <w:p w14:paraId="17897A11" w14:textId="77777777" w:rsidR="00234C99" w:rsidRPr="006E2616" w:rsidRDefault="00234C99" w:rsidP="00234C99">
            <w:pPr>
              <w:jc w:val="center"/>
              <w:rPr>
                <w:rFonts w:eastAsia="Times New Roman" w:cs="Times New Roman"/>
                <w:color w:val="000000"/>
              </w:rPr>
            </w:pPr>
          </w:p>
        </w:tc>
        <w:tc>
          <w:tcPr>
            <w:tcW w:w="0" w:type="auto"/>
            <w:shd w:val="clear" w:color="auto" w:fill="auto"/>
            <w:vAlign w:val="center"/>
          </w:tcPr>
          <w:p w14:paraId="101C8CEF" w14:textId="550C68CA" w:rsidR="00234C99" w:rsidRPr="006E2616" w:rsidRDefault="00234C99"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vAlign w:val="center"/>
          </w:tcPr>
          <w:p w14:paraId="32576D7D" w14:textId="581CF981" w:rsidR="00234C99" w:rsidRPr="006E2616" w:rsidRDefault="00234C99" w:rsidP="00234C99">
            <w:pPr>
              <w:jc w:val="center"/>
              <w:rPr>
                <w:rFonts w:eastAsia="Times New Roman" w:cs="Times New Roman"/>
                <w:color w:val="000000"/>
              </w:rPr>
            </w:pPr>
            <w:r>
              <w:rPr>
                <w:rFonts w:eastAsia="Times New Roman" w:cs="Times New Roman"/>
                <w:color w:val="000000"/>
              </w:rPr>
              <w:t>0</w:t>
            </w:r>
          </w:p>
        </w:tc>
      </w:tr>
      <w:tr w:rsidR="00234C99" w:rsidRPr="006E2616" w14:paraId="17D4D036" w14:textId="77777777" w:rsidTr="0094239A">
        <w:trPr>
          <w:trHeight w:val="300"/>
          <w:jc w:val="center"/>
        </w:trPr>
        <w:tc>
          <w:tcPr>
            <w:tcW w:w="0" w:type="auto"/>
            <w:shd w:val="clear" w:color="auto" w:fill="auto"/>
            <w:noWrap/>
            <w:vAlign w:val="center"/>
          </w:tcPr>
          <w:p w14:paraId="23F89007" w14:textId="16A28222" w:rsidR="00234C99" w:rsidRPr="006E2616" w:rsidRDefault="00234C99" w:rsidP="00234C99">
            <w:pPr>
              <w:jc w:val="center"/>
              <w:rPr>
                <w:rFonts w:eastAsia="Times New Roman" w:cs="Times New Roman"/>
                <w:color w:val="000000"/>
              </w:rPr>
            </w:pPr>
            <w:r w:rsidRPr="006E2616">
              <w:rPr>
                <w:rFonts w:eastAsia="Times New Roman" w:cs="Times New Roman"/>
                <w:color w:val="000000"/>
              </w:rPr>
              <w:t>Yes</w:t>
            </w:r>
          </w:p>
        </w:tc>
        <w:tc>
          <w:tcPr>
            <w:tcW w:w="0" w:type="auto"/>
            <w:shd w:val="clear" w:color="auto" w:fill="auto"/>
            <w:noWrap/>
            <w:vAlign w:val="center"/>
          </w:tcPr>
          <w:p w14:paraId="11BA1EEF" w14:textId="7367139C" w:rsidR="00234C99" w:rsidRPr="006E2616" w:rsidRDefault="00234C99" w:rsidP="00234C99">
            <w:pPr>
              <w:jc w:val="center"/>
              <w:rPr>
                <w:rFonts w:eastAsia="Times New Roman" w:cs="Times New Roman"/>
                <w:color w:val="000000"/>
              </w:rPr>
            </w:pPr>
            <w:r w:rsidRPr="006E2616">
              <w:rPr>
                <w:rFonts w:eastAsia="Times New Roman" w:cs="Times New Roman"/>
                <w:color w:val="000000"/>
              </w:rPr>
              <w:t>1</w:t>
            </w:r>
          </w:p>
        </w:tc>
        <w:tc>
          <w:tcPr>
            <w:tcW w:w="0" w:type="auto"/>
            <w:shd w:val="clear" w:color="auto" w:fill="auto"/>
            <w:vAlign w:val="center"/>
          </w:tcPr>
          <w:p w14:paraId="2C4167C1" w14:textId="77777777" w:rsidR="00234C99" w:rsidRPr="006E2616" w:rsidRDefault="00234C99" w:rsidP="00234C99">
            <w:pPr>
              <w:jc w:val="center"/>
              <w:rPr>
                <w:rFonts w:eastAsia="Times New Roman" w:cs="Times New Roman"/>
                <w:color w:val="000000"/>
              </w:rPr>
            </w:pPr>
          </w:p>
        </w:tc>
        <w:tc>
          <w:tcPr>
            <w:tcW w:w="0" w:type="auto"/>
            <w:shd w:val="clear" w:color="auto" w:fill="auto"/>
            <w:vAlign w:val="center"/>
          </w:tcPr>
          <w:p w14:paraId="6436220A" w14:textId="50869CCF" w:rsidR="00234C99" w:rsidRPr="006E2616" w:rsidRDefault="008D74A7"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vAlign w:val="center"/>
          </w:tcPr>
          <w:p w14:paraId="0BC4CC0D" w14:textId="69BC190C" w:rsidR="00234C99" w:rsidRPr="006E2616" w:rsidRDefault="00234C99" w:rsidP="00234C99">
            <w:pPr>
              <w:jc w:val="center"/>
              <w:rPr>
                <w:rFonts w:eastAsia="Times New Roman" w:cs="Times New Roman"/>
                <w:color w:val="000000"/>
              </w:rPr>
            </w:pPr>
            <w:r>
              <w:rPr>
                <w:rFonts w:eastAsia="Times New Roman" w:cs="Times New Roman"/>
                <w:color w:val="000000"/>
              </w:rPr>
              <w:t>0</w:t>
            </w:r>
          </w:p>
        </w:tc>
      </w:tr>
      <w:tr w:rsidR="00234C99" w:rsidRPr="006E2616" w14:paraId="6E08C309" w14:textId="77777777" w:rsidTr="0094239A">
        <w:trPr>
          <w:trHeight w:val="300"/>
          <w:jc w:val="center"/>
        </w:trPr>
        <w:tc>
          <w:tcPr>
            <w:tcW w:w="0" w:type="auto"/>
            <w:shd w:val="clear" w:color="auto" w:fill="auto"/>
            <w:noWrap/>
            <w:vAlign w:val="center"/>
          </w:tcPr>
          <w:p w14:paraId="75013574" w14:textId="05A73BC3" w:rsidR="00234C99" w:rsidRPr="006E2616" w:rsidRDefault="00234C99" w:rsidP="00234C99">
            <w:pPr>
              <w:jc w:val="center"/>
              <w:rPr>
                <w:rFonts w:eastAsia="Times New Roman" w:cs="Times New Roman"/>
                <w:color w:val="000000"/>
              </w:rPr>
            </w:pPr>
            <w:r>
              <w:rPr>
                <w:rFonts w:eastAsia="Times New Roman" w:cs="Times New Roman"/>
                <w:color w:val="000000"/>
              </w:rPr>
              <w:t>No</w:t>
            </w:r>
          </w:p>
        </w:tc>
        <w:tc>
          <w:tcPr>
            <w:tcW w:w="0" w:type="auto"/>
            <w:shd w:val="clear" w:color="auto" w:fill="auto"/>
            <w:noWrap/>
            <w:vAlign w:val="center"/>
          </w:tcPr>
          <w:p w14:paraId="4A6C9D80" w14:textId="7BAC4A4E" w:rsidR="00234C99" w:rsidRPr="006E2616" w:rsidRDefault="00234C99" w:rsidP="00234C99">
            <w:pPr>
              <w:jc w:val="center"/>
              <w:rPr>
                <w:rFonts w:eastAsia="Times New Roman" w:cs="Times New Roman"/>
                <w:color w:val="000000"/>
              </w:rPr>
            </w:pPr>
            <w:r w:rsidRPr="006E2616">
              <w:rPr>
                <w:rFonts w:eastAsia="Times New Roman" w:cs="Times New Roman"/>
                <w:color w:val="000000"/>
              </w:rPr>
              <w:t>2</w:t>
            </w:r>
          </w:p>
        </w:tc>
        <w:tc>
          <w:tcPr>
            <w:tcW w:w="0" w:type="auto"/>
            <w:shd w:val="clear" w:color="auto" w:fill="auto"/>
            <w:vAlign w:val="center"/>
          </w:tcPr>
          <w:p w14:paraId="43E302CE" w14:textId="77777777" w:rsidR="00234C99" w:rsidRPr="006E2616" w:rsidRDefault="00234C99" w:rsidP="00234C99">
            <w:pPr>
              <w:jc w:val="center"/>
              <w:rPr>
                <w:rFonts w:eastAsia="Times New Roman" w:cs="Times New Roman"/>
                <w:color w:val="000000"/>
              </w:rPr>
            </w:pPr>
          </w:p>
        </w:tc>
        <w:tc>
          <w:tcPr>
            <w:tcW w:w="0" w:type="auto"/>
            <w:shd w:val="clear" w:color="auto" w:fill="auto"/>
            <w:vAlign w:val="center"/>
          </w:tcPr>
          <w:p w14:paraId="76EF615D" w14:textId="724D662C" w:rsidR="00234C99" w:rsidRPr="006E2616" w:rsidRDefault="005048A1" w:rsidP="00234C99">
            <w:pPr>
              <w:jc w:val="center"/>
              <w:rPr>
                <w:rFonts w:eastAsia="Times New Roman" w:cs="Times New Roman"/>
                <w:color w:val="000000"/>
              </w:rPr>
            </w:pPr>
            <w:r>
              <w:rPr>
                <w:rFonts w:eastAsia="Times New Roman" w:cs="Times New Roman"/>
                <w:color w:val="000000"/>
              </w:rPr>
              <w:t>Yes</w:t>
            </w:r>
          </w:p>
        </w:tc>
        <w:tc>
          <w:tcPr>
            <w:tcW w:w="0" w:type="auto"/>
            <w:shd w:val="clear" w:color="auto" w:fill="auto"/>
            <w:vAlign w:val="center"/>
          </w:tcPr>
          <w:p w14:paraId="58772665" w14:textId="795DAE3F" w:rsidR="00234C99" w:rsidRPr="006E2616" w:rsidRDefault="008D74A7" w:rsidP="00234C99">
            <w:pPr>
              <w:jc w:val="center"/>
              <w:rPr>
                <w:rFonts w:eastAsia="Times New Roman" w:cs="Times New Roman"/>
                <w:color w:val="000000"/>
              </w:rPr>
            </w:pPr>
            <w:r>
              <w:rPr>
                <w:rFonts w:eastAsia="Times New Roman" w:cs="Times New Roman"/>
                <w:color w:val="000000"/>
              </w:rPr>
              <w:t>0</w:t>
            </w:r>
          </w:p>
        </w:tc>
      </w:tr>
      <w:tr w:rsidR="005048A1" w:rsidRPr="006E2616" w14:paraId="210BEED2" w14:textId="77777777" w:rsidTr="0094239A">
        <w:trPr>
          <w:trHeight w:val="300"/>
          <w:jc w:val="center"/>
        </w:trPr>
        <w:tc>
          <w:tcPr>
            <w:tcW w:w="0" w:type="auto"/>
            <w:shd w:val="clear" w:color="auto" w:fill="auto"/>
            <w:noWrap/>
            <w:vAlign w:val="center"/>
          </w:tcPr>
          <w:p w14:paraId="612F2202" w14:textId="1BAB8175" w:rsidR="005048A1" w:rsidRPr="006E2616" w:rsidRDefault="005048A1" w:rsidP="005048A1">
            <w:pPr>
              <w:jc w:val="center"/>
              <w:rPr>
                <w:rFonts w:eastAsia="Times New Roman" w:cs="Times New Roman"/>
                <w:color w:val="000000"/>
              </w:rPr>
            </w:pPr>
            <w:r>
              <w:rPr>
                <w:rFonts w:eastAsia="Times New Roman" w:cs="Times New Roman"/>
                <w:color w:val="000000"/>
              </w:rPr>
              <w:t>Yes</w:t>
            </w:r>
          </w:p>
        </w:tc>
        <w:tc>
          <w:tcPr>
            <w:tcW w:w="0" w:type="auto"/>
            <w:shd w:val="clear" w:color="auto" w:fill="auto"/>
            <w:noWrap/>
            <w:vAlign w:val="center"/>
          </w:tcPr>
          <w:p w14:paraId="68389CBD" w14:textId="1D92275E" w:rsidR="005048A1" w:rsidRPr="006E2616" w:rsidRDefault="005048A1" w:rsidP="005048A1">
            <w:pPr>
              <w:jc w:val="center"/>
              <w:rPr>
                <w:rFonts w:eastAsia="Times New Roman" w:cs="Times New Roman"/>
                <w:color w:val="000000"/>
              </w:rPr>
            </w:pPr>
            <w:r>
              <w:rPr>
                <w:rFonts w:eastAsia="Times New Roman" w:cs="Times New Roman"/>
                <w:color w:val="000000"/>
              </w:rPr>
              <w:t>2</w:t>
            </w:r>
          </w:p>
        </w:tc>
        <w:tc>
          <w:tcPr>
            <w:tcW w:w="0" w:type="auto"/>
            <w:shd w:val="clear" w:color="auto" w:fill="auto"/>
            <w:vAlign w:val="center"/>
          </w:tcPr>
          <w:p w14:paraId="5EE1DBB8" w14:textId="77777777" w:rsidR="005048A1" w:rsidRPr="006E2616" w:rsidRDefault="005048A1" w:rsidP="005048A1">
            <w:pPr>
              <w:jc w:val="center"/>
              <w:rPr>
                <w:rFonts w:eastAsia="Times New Roman" w:cs="Times New Roman"/>
                <w:color w:val="000000"/>
              </w:rPr>
            </w:pPr>
          </w:p>
        </w:tc>
        <w:tc>
          <w:tcPr>
            <w:tcW w:w="0" w:type="auto"/>
            <w:shd w:val="clear" w:color="auto" w:fill="auto"/>
            <w:vAlign w:val="center"/>
          </w:tcPr>
          <w:p w14:paraId="19B7129D" w14:textId="3214D95C" w:rsidR="005048A1" w:rsidRPr="006E2616" w:rsidRDefault="005048A1" w:rsidP="005048A1">
            <w:pPr>
              <w:jc w:val="center"/>
              <w:rPr>
                <w:rFonts w:eastAsia="Times New Roman" w:cs="Times New Roman"/>
                <w:color w:val="000000"/>
              </w:rPr>
            </w:pPr>
            <w:r w:rsidRPr="006E2616">
              <w:rPr>
                <w:rFonts w:eastAsia="Times New Roman" w:cs="Times New Roman"/>
                <w:color w:val="000000"/>
              </w:rPr>
              <w:t>Yes</w:t>
            </w:r>
          </w:p>
        </w:tc>
        <w:tc>
          <w:tcPr>
            <w:tcW w:w="0" w:type="auto"/>
            <w:shd w:val="clear" w:color="auto" w:fill="auto"/>
            <w:vAlign w:val="center"/>
          </w:tcPr>
          <w:p w14:paraId="1F51D2AD" w14:textId="64E35F4F" w:rsidR="005048A1" w:rsidRPr="006E2616" w:rsidRDefault="005048A1" w:rsidP="005048A1">
            <w:pPr>
              <w:jc w:val="center"/>
              <w:rPr>
                <w:rFonts w:eastAsia="Times New Roman" w:cs="Times New Roman"/>
                <w:color w:val="000000"/>
              </w:rPr>
            </w:pPr>
            <w:r w:rsidRPr="006E2616">
              <w:rPr>
                <w:rFonts w:eastAsia="Times New Roman" w:cs="Times New Roman"/>
                <w:color w:val="000000"/>
              </w:rPr>
              <w:t>1</w:t>
            </w:r>
          </w:p>
        </w:tc>
      </w:tr>
      <w:tr w:rsidR="005048A1" w:rsidRPr="006E2616" w14:paraId="2FF47E2E" w14:textId="77777777" w:rsidTr="0094239A">
        <w:trPr>
          <w:trHeight w:val="300"/>
          <w:jc w:val="center"/>
        </w:trPr>
        <w:tc>
          <w:tcPr>
            <w:tcW w:w="0" w:type="auto"/>
            <w:shd w:val="clear" w:color="auto" w:fill="auto"/>
            <w:noWrap/>
            <w:vAlign w:val="center"/>
          </w:tcPr>
          <w:p w14:paraId="3C9C1622" w14:textId="3B06A5F5" w:rsidR="005048A1" w:rsidRDefault="005048A1" w:rsidP="005048A1">
            <w:pPr>
              <w:jc w:val="center"/>
              <w:rPr>
                <w:rFonts w:eastAsia="Times New Roman" w:cs="Times New Roman"/>
                <w:color w:val="000000"/>
              </w:rPr>
            </w:pPr>
            <w:r>
              <w:rPr>
                <w:rFonts w:eastAsia="Times New Roman" w:cs="Times New Roman"/>
                <w:color w:val="000000"/>
              </w:rPr>
              <w:t>Yes</w:t>
            </w:r>
          </w:p>
        </w:tc>
        <w:tc>
          <w:tcPr>
            <w:tcW w:w="0" w:type="auto"/>
            <w:shd w:val="clear" w:color="auto" w:fill="auto"/>
            <w:noWrap/>
            <w:vAlign w:val="center"/>
          </w:tcPr>
          <w:p w14:paraId="4B09DC2F" w14:textId="09197F39" w:rsidR="005048A1" w:rsidRDefault="005048A1" w:rsidP="005048A1">
            <w:pPr>
              <w:jc w:val="center"/>
              <w:rPr>
                <w:rFonts w:eastAsia="Times New Roman" w:cs="Times New Roman"/>
                <w:color w:val="000000"/>
              </w:rPr>
            </w:pPr>
            <w:r>
              <w:rPr>
                <w:rFonts w:eastAsia="Times New Roman" w:cs="Times New Roman"/>
                <w:color w:val="000000"/>
              </w:rPr>
              <w:t>2</w:t>
            </w:r>
          </w:p>
        </w:tc>
        <w:tc>
          <w:tcPr>
            <w:tcW w:w="0" w:type="auto"/>
            <w:shd w:val="clear" w:color="auto" w:fill="auto"/>
            <w:vAlign w:val="center"/>
          </w:tcPr>
          <w:p w14:paraId="5450DC00" w14:textId="77777777" w:rsidR="005048A1" w:rsidRPr="006E2616" w:rsidRDefault="005048A1" w:rsidP="005048A1">
            <w:pPr>
              <w:jc w:val="center"/>
              <w:rPr>
                <w:rFonts w:eastAsia="Times New Roman" w:cs="Times New Roman"/>
                <w:color w:val="000000"/>
              </w:rPr>
            </w:pPr>
          </w:p>
        </w:tc>
        <w:tc>
          <w:tcPr>
            <w:tcW w:w="0" w:type="auto"/>
            <w:shd w:val="clear" w:color="auto" w:fill="auto"/>
            <w:vAlign w:val="center"/>
          </w:tcPr>
          <w:p w14:paraId="3D14DF8A" w14:textId="7F519D1B" w:rsidR="005048A1" w:rsidRDefault="005048A1" w:rsidP="005048A1">
            <w:pPr>
              <w:jc w:val="center"/>
              <w:rPr>
                <w:rFonts w:eastAsia="Times New Roman" w:cs="Times New Roman"/>
                <w:color w:val="000000"/>
              </w:rPr>
            </w:pPr>
            <w:r>
              <w:rPr>
                <w:rFonts w:eastAsia="Times New Roman" w:cs="Times New Roman"/>
                <w:color w:val="000000"/>
              </w:rPr>
              <w:t>Yes</w:t>
            </w:r>
          </w:p>
        </w:tc>
        <w:tc>
          <w:tcPr>
            <w:tcW w:w="0" w:type="auto"/>
            <w:shd w:val="clear" w:color="auto" w:fill="auto"/>
            <w:vAlign w:val="center"/>
          </w:tcPr>
          <w:p w14:paraId="64D08E6B" w14:textId="790508DF" w:rsidR="005048A1" w:rsidRDefault="005048A1" w:rsidP="005048A1">
            <w:pPr>
              <w:jc w:val="center"/>
              <w:rPr>
                <w:rFonts w:eastAsia="Times New Roman" w:cs="Times New Roman"/>
                <w:color w:val="000000"/>
              </w:rPr>
            </w:pPr>
            <w:r>
              <w:rPr>
                <w:rFonts w:eastAsia="Times New Roman" w:cs="Times New Roman"/>
                <w:color w:val="000000"/>
              </w:rPr>
              <w:t>2</w:t>
            </w:r>
          </w:p>
        </w:tc>
      </w:tr>
      <w:tr w:rsidR="005048A1" w:rsidRPr="006E2616" w14:paraId="404BD84E" w14:textId="77777777" w:rsidTr="0094239A">
        <w:trPr>
          <w:trHeight w:val="300"/>
          <w:jc w:val="center"/>
        </w:trPr>
        <w:tc>
          <w:tcPr>
            <w:tcW w:w="0" w:type="auto"/>
            <w:tcBorders>
              <w:bottom w:val="single" w:sz="8" w:space="0" w:color="auto"/>
            </w:tcBorders>
            <w:shd w:val="clear" w:color="auto" w:fill="auto"/>
            <w:noWrap/>
            <w:vAlign w:val="center"/>
          </w:tcPr>
          <w:p w14:paraId="0B5CF319" w14:textId="7997236D" w:rsidR="005048A1" w:rsidRPr="006E2616" w:rsidRDefault="005048A1" w:rsidP="005048A1">
            <w:pPr>
              <w:jc w:val="center"/>
              <w:rPr>
                <w:rFonts w:eastAsia="Times New Roman" w:cs="Times New Roman"/>
                <w:color w:val="000000"/>
              </w:rPr>
            </w:pPr>
            <w:r w:rsidRPr="006E2616">
              <w:rPr>
                <w:rFonts w:eastAsia="Times New Roman" w:cs="Times New Roman"/>
                <w:color w:val="000000"/>
              </w:rPr>
              <w:t>Yes</w:t>
            </w:r>
          </w:p>
        </w:tc>
        <w:tc>
          <w:tcPr>
            <w:tcW w:w="0" w:type="auto"/>
            <w:tcBorders>
              <w:bottom w:val="single" w:sz="8" w:space="0" w:color="auto"/>
            </w:tcBorders>
            <w:shd w:val="clear" w:color="auto" w:fill="auto"/>
            <w:noWrap/>
            <w:vAlign w:val="center"/>
          </w:tcPr>
          <w:p w14:paraId="07E6C95F" w14:textId="363703BC" w:rsidR="005048A1" w:rsidRPr="006E2616" w:rsidRDefault="005048A1" w:rsidP="005048A1">
            <w:pPr>
              <w:jc w:val="center"/>
              <w:rPr>
                <w:rFonts w:eastAsia="Times New Roman" w:cs="Times New Roman"/>
                <w:color w:val="000000"/>
              </w:rPr>
            </w:pPr>
            <w:r w:rsidRPr="006E2616">
              <w:rPr>
                <w:rFonts w:eastAsia="Times New Roman" w:cs="Times New Roman"/>
                <w:color w:val="000000"/>
              </w:rPr>
              <w:t>2</w:t>
            </w:r>
          </w:p>
        </w:tc>
        <w:tc>
          <w:tcPr>
            <w:tcW w:w="0" w:type="auto"/>
            <w:tcBorders>
              <w:bottom w:val="single" w:sz="8" w:space="0" w:color="auto"/>
            </w:tcBorders>
            <w:shd w:val="clear" w:color="auto" w:fill="auto"/>
            <w:vAlign w:val="center"/>
          </w:tcPr>
          <w:p w14:paraId="3BC7F955" w14:textId="77777777" w:rsidR="005048A1" w:rsidRPr="006E2616" w:rsidRDefault="005048A1" w:rsidP="005048A1">
            <w:pPr>
              <w:jc w:val="center"/>
              <w:rPr>
                <w:rFonts w:eastAsia="Times New Roman" w:cs="Times New Roman"/>
                <w:color w:val="000000"/>
              </w:rPr>
            </w:pPr>
          </w:p>
        </w:tc>
        <w:tc>
          <w:tcPr>
            <w:tcW w:w="0" w:type="auto"/>
            <w:tcBorders>
              <w:bottom w:val="single" w:sz="8" w:space="0" w:color="auto"/>
            </w:tcBorders>
            <w:shd w:val="clear" w:color="auto" w:fill="auto"/>
            <w:vAlign w:val="center"/>
          </w:tcPr>
          <w:p w14:paraId="01B51816" w14:textId="779715F1" w:rsidR="005048A1" w:rsidRPr="006E2616" w:rsidRDefault="005048A1" w:rsidP="005048A1">
            <w:pPr>
              <w:jc w:val="center"/>
              <w:rPr>
                <w:rFonts w:eastAsia="Times New Roman" w:cs="Times New Roman"/>
                <w:color w:val="000000"/>
              </w:rPr>
            </w:pPr>
            <w:r w:rsidRPr="006E2616">
              <w:rPr>
                <w:rFonts w:eastAsia="Times New Roman" w:cs="Times New Roman"/>
                <w:color w:val="000000"/>
              </w:rPr>
              <w:t>Yes</w:t>
            </w:r>
          </w:p>
        </w:tc>
        <w:tc>
          <w:tcPr>
            <w:tcW w:w="0" w:type="auto"/>
            <w:tcBorders>
              <w:bottom w:val="single" w:sz="8" w:space="0" w:color="auto"/>
            </w:tcBorders>
            <w:shd w:val="clear" w:color="auto" w:fill="auto"/>
            <w:vAlign w:val="center"/>
          </w:tcPr>
          <w:p w14:paraId="1B69AE2E" w14:textId="7A31A5CC" w:rsidR="005048A1" w:rsidRPr="006E2616" w:rsidRDefault="005048A1" w:rsidP="005048A1">
            <w:pPr>
              <w:jc w:val="center"/>
              <w:rPr>
                <w:rFonts w:eastAsia="Times New Roman" w:cs="Times New Roman"/>
                <w:color w:val="000000"/>
              </w:rPr>
            </w:pPr>
            <w:r w:rsidRPr="006E2616">
              <w:rPr>
                <w:rFonts w:eastAsia="Times New Roman" w:cs="Times New Roman"/>
                <w:color w:val="000000"/>
              </w:rPr>
              <w:t>2</w:t>
            </w:r>
          </w:p>
        </w:tc>
      </w:tr>
    </w:tbl>
    <w:p w14:paraId="2A106618" w14:textId="77777777" w:rsidR="00BA161F" w:rsidRPr="006E2616" w:rsidRDefault="00BA161F" w:rsidP="00BA161F"/>
    <w:p w14:paraId="6EB83E1C" w14:textId="38949282" w:rsidR="00BA161F" w:rsidRPr="006E2616" w:rsidRDefault="00BA161F" w:rsidP="00F12BC7">
      <w:pPr>
        <w:pStyle w:val="ListParagraph"/>
        <w:numPr>
          <w:ilvl w:val="0"/>
          <w:numId w:val="0"/>
        </w:numPr>
        <w:spacing w:after="120"/>
        <w:ind w:left="360"/>
        <w:contextualSpacing w:val="0"/>
      </w:pPr>
      <w:r w:rsidRPr="006E2616">
        <w:t xml:space="preserve">Considering only statistical control for the number of </w:t>
      </w:r>
      <w:r w:rsidR="00F12BC7" w:rsidRPr="006E2616">
        <w:t>grants</w:t>
      </w:r>
      <w:r w:rsidRPr="006E2616">
        <w:t>, which inference below is most supported?</w:t>
      </w:r>
    </w:p>
    <w:p w14:paraId="2D33AC03" w14:textId="106D34EF" w:rsidR="00BA161F" w:rsidRPr="006E2616" w:rsidRDefault="00BA161F" w:rsidP="00D65720">
      <w:pPr>
        <w:pStyle w:val="ListParagraph"/>
        <w:numPr>
          <w:ilvl w:val="0"/>
          <w:numId w:val="6"/>
        </w:numPr>
        <w:spacing w:after="120"/>
        <w:ind w:left="720"/>
        <w:contextualSpacing w:val="0"/>
      </w:pPr>
      <w:r w:rsidRPr="006E2616">
        <w:t xml:space="preserve">The data suggest that women were </w:t>
      </w:r>
      <w:r w:rsidRPr="006E2616">
        <w:rPr>
          <w:u w:val="single"/>
        </w:rPr>
        <w:t>less likely</w:t>
      </w:r>
      <w:r w:rsidRPr="006E2616">
        <w:t xml:space="preserve"> than men to receive tenure, controlling for number of </w:t>
      </w:r>
      <w:r w:rsidR="00F12BC7" w:rsidRPr="006E2616">
        <w:t>grant</w:t>
      </w:r>
      <w:r w:rsidRPr="006E2616">
        <w:t>s.</w:t>
      </w:r>
    </w:p>
    <w:p w14:paraId="325AC209" w14:textId="2C86F967" w:rsidR="00BA161F" w:rsidRPr="006E2616" w:rsidRDefault="00BA161F" w:rsidP="00D65720">
      <w:pPr>
        <w:pStyle w:val="ListParagraph"/>
        <w:numPr>
          <w:ilvl w:val="0"/>
          <w:numId w:val="6"/>
        </w:numPr>
        <w:spacing w:after="120"/>
        <w:ind w:left="720"/>
        <w:contextualSpacing w:val="0"/>
      </w:pPr>
      <w:r w:rsidRPr="006E2616">
        <w:t xml:space="preserve">The data suggest that women were </w:t>
      </w:r>
      <w:r w:rsidRPr="006E2616">
        <w:rPr>
          <w:u w:val="single"/>
        </w:rPr>
        <w:t>as likely</w:t>
      </w:r>
      <w:r w:rsidRPr="006E2616">
        <w:t xml:space="preserve"> as men to receive tenure, controlling for number of </w:t>
      </w:r>
      <w:r w:rsidR="00F12BC7" w:rsidRPr="006E2616">
        <w:t>grants</w:t>
      </w:r>
      <w:r w:rsidRPr="006E2616">
        <w:t>.</w:t>
      </w:r>
    </w:p>
    <w:p w14:paraId="5ED2B007" w14:textId="378118DC" w:rsidR="00BA161F" w:rsidRPr="006E2616" w:rsidRDefault="00BA161F" w:rsidP="00D65720">
      <w:pPr>
        <w:pStyle w:val="ListParagraph"/>
        <w:numPr>
          <w:ilvl w:val="0"/>
          <w:numId w:val="6"/>
        </w:numPr>
        <w:ind w:left="720"/>
      </w:pPr>
      <w:r w:rsidRPr="006E2616">
        <w:t xml:space="preserve">The data suggest that women were </w:t>
      </w:r>
      <w:r w:rsidRPr="006E2616">
        <w:rPr>
          <w:u w:val="single"/>
        </w:rPr>
        <w:t>more likely</w:t>
      </w:r>
      <w:r w:rsidRPr="006E2616">
        <w:t xml:space="preserve"> than men to receive tenure, controlling for number of </w:t>
      </w:r>
      <w:r w:rsidR="00F12BC7" w:rsidRPr="006E2616">
        <w:t>grants</w:t>
      </w:r>
      <w:r w:rsidRPr="006E2616">
        <w:t>.</w:t>
      </w:r>
    </w:p>
    <w:p w14:paraId="53B7F7CD" w14:textId="77777777" w:rsidR="00BA161F" w:rsidRPr="006E2616" w:rsidRDefault="00BA161F" w:rsidP="00BA161F"/>
    <w:p w14:paraId="278257D6" w14:textId="56AA0117" w:rsidR="004F47F7" w:rsidRPr="006E2616" w:rsidRDefault="004F47F7" w:rsidP="00D65720">
      <w:pPr>
        <w:pStyle w:val="ListParagraph"/>
        <w:numPr>
          <w:ilvl w:val="0"/>
          <w:numId w:val="4"/>
        </w:numPr>
        <w:ind w:left="360"/>
      </w:pPr>
      <w:r w:rsidRPr="006E2616">
        <w:t xml:space="preserve">Suppose that, in Freedonia in 2024, the Freedonia government provided 10% extra funding to K12 schools that had mean test scores in 2023 that were in the bottom 20 percent of K12 schools in Freedonia in 2023. Researchers are interested in the effect of this extra funding. Researcher A compares the mean test score in 2025 among students in K12 schools that received this extra 10% funding to the mean test score in 2025 among students in K12 schools that did not receive this extra 10% funding. Researcher B instead compares the mean test score in 2025 among students in K12 schools that </w:t>
      </w:r>
      <w:r w:rsidR="007D79C9">
        <w:t>w</w:t>
      </w:r>
      <w:r w:rsidR="007D79C9" w:rsidRPr="006E2616">
        <w:t>ere in the bottom 16 to 20 percent of K12 schools in Freedonia in 2023</w:t>
      </w:r>
      <w:r w:rsidR="007D79C9">
        <w:t xml:space="preserve"> and </w:t>
      </w:r>
      <w:r w:rsidRPr="006E2616">
        <w:t>received this extra 10% funding</w:t>
      </w:r>
      <w:r w:rsidR="007D79C9">
        <w:t xml:space="preserve">, </w:t>
      </w:r>
      <w:r w:rsidRPr="006E2616">
        <w:t xml:space="preserve">to the mean test score in 2025 among students in K12 schools </w:t>
      </w:r>
      <w:r w:rsidR="007D79C9">
        <w:t xml:space="preserve">that </w:t>
      </w:r>
      <w:r w:rsidR="007D79C9" w:rsidRPr="006E2616">
        <w:t>were in the bottom 21 to 25 percent of K12 schools in Freedonia in 2023</w:t>
      </w:r>
      <w:r w:rsidR="007D79C9">
        <w:t xml:space="preserve"> and </w:t>
      </w:r>
      <w:r w:rsidRPr="006E2616">
        <w:t>did not receive this extra 10% funding. Researcher A has an advantage over Researcher B because Researcher A has more data. Explain an advantage that Researcher B has over Researcher A.</w:t>
      </w:r>
    </w:p>
    <w:p w14:paraId="0D96E9CD" w14:textId="77777777" w:rsidR="004F47F7" w:rsidRPr="006E2616" w:rsidRDefault="004F47F7" w:rsidP="00BA161F"/>
    <w:p w14:paraId="5AE1CED9" w14:textId="77777777" w:rsidR="004F47F7" w:rsidRPr="006E2616" w:rsidRDefault="004F47F7" w:rsidP="00BA161F"/>
    <w:p w14:paraId="7DADC5D6" w14:textId="77777777" w:rsidR="004F47F7" w:rsidRPr="006E2616" w:rsidRDefault="004F47F7" w:rsidP="00BA161F"/>
    <w:p w14:paraId="372DB9F8" w14:textId="45A24B19" w:rsidR="004F47F7" w:rsidRPr="006E2616" w:rsidRDefault="004F47F7" w:rsidP="00D65720">
      <w:pPr>
        <w:pStyle w:val="ListParagraph"/>
        <w:numPr>
          <w:ilvl w:val="0"/>
          <w:numId w:val="5"/>
        </w:numPr>
        <w:ind w:left="360"/>
      </w:pPr>
      <w:r w:rsidRPr="006E2616">
        <w:lastRenderedPageBreak/>
        <w:t>The following passage from the Allington et al. 2010 article in Reading Psychology, entitled "Addressing Summer Reading Setback Among Economically Disadvantaged Elementary Students"</w:t>
      </w:r>
      <w:r w:rsidR="007D79C9">
        <w:t>,</w:t>
      </w:r>
      <w:r w:rsidRPr="006E2616">
        <w:t xml:space="preserve"> describes an experiment:</w:t>
      </w:r>
    </w:p>
    <w:p w14:paraId="704436D5" w14:textId="77777777" w:rsidR="004F47F7" w:rsidRPr="006E2616" w:rsidRDefault="004F47F7" w:rsidP="004F47F7">
      <w:pPr>
        <w:rPr>
          <w:rFonts w:cs="Times New Roman"/>
        </w:rPr>
      </w:pPr>
    </w:p>
    <w:p w14:paraId="03F87E1F" w14:textId="77777777" w:rsidR="004F47F7" w:rsidRPr="006E2616" w:rsidRDefault="004F47F7" w:rsidP="004F47F7">
      <w:pPr>
        <w:ind w:left="720"/>
        <w:rPr>
          <w:rFonts w:cs="Times New Roman"/>
        </w:rPr>
      </w:pPr>
      <w:r w:rsidRPr="006E2616">
        <w:rPr>
          <w:rFonts w:cs="Times New Roman"/>
        </w:rPr>
        <w:t>…852 students from 17 high-poverty schools were randomly selected to receive a supply of self-selected trade books on the final day of school over a 3-year period, and 478 randomly selected students from these same schools received no books and served as the control group. No further effort was provided in this intervention study. Outcomes on the state reading assessment indicated a statistically significant effect (p = .015) for providing access to books for summer reading…</w:t>
      </w:r>
    </w:p>
    <w:p w14:paraId="6F0B1EBC" w14:textId="77777777" w:rsidR="004F47F7" w:rsidRPr="006E2616" w:rsidRDefault="004F47F7" w:rsidP="004F47F7">
      <w:pPr>
        <w:rPr>
          <w:rFonts w:cs="Times New Roman"/>
        </w:rPr>
      </w:pPr>
    </w:p>
    <w:p w14:paraId="18A70A56" w14:textId="77777777" w:rsidR="004F47F7" w:rsidRPr="006E2616" w:rsidRDefault="004F47F7" w:rsidP="002676EC">
      <w:pPr>
        <w:ind w:firstLine="360"/>
        <w:rPr>
          <w:rFonts w:cs="Times New Roman"/>
        </w:rPr>
      </w:pPr>
      <w:r w:rsidRPr="006E2616">
        <w:rPr>
          <w:rFonts w:cs="Times New Roman"/>
        </w:rPr>
        <w:t>Which one of the following, if any, is a valid criticism of this study?</w:t>
      </w:r>
    </w:p>
    <w:p w14:paraId="63353D08" w14:textId="77777777" w:rsidR="004F47F7" w:rsidRPr="006E2616" w:rsidRDefault="004F47F7" w:rsidP="00D65720">
      <w:pPr>
        <w:pStyle w:val="ListParagraph"/>
        <w:numPr>
          <w:ilvl w:val="0"/>
          <w:numId w:val="7"/>
        </w:numPr>
        <w:contextualSpacing w:val="0"/>
        <w:rPr>
          <w:rFonts w:cs="Times New Roman"/>
        </w:rPr>
      </w:pPr>
      <w:r w:rsidRPr="006E2616">
        <w:rPr>
          <w:rFonts w:cs="Times New Roman"/>
        </w:rPr>
        <w:t>The result is likely biased because the treatment group was larger than the control group.</w:t>
      </w:r>
    </w:p>
    <w:p w14:paraId="3D48D662" w14:textId="77777777" w:rsidR="004F47F7" w:rsidRPr="006E2616" w:rsidRDefault="004F47F7" w:rsidP="00D65720">
      <w:pPr>
        <w:pStyle w:val="ListParagraph"/>
        <w:numPr>
          <w:ilvl w:val="0"/>
          <w:numId w:val="7"/>
        </w:numPr>
        <w:contextualSpacing w:val="0"/>
        <w:rPr>
          <w:rFonts w:cs="Times New Roman"/>
        </w:rPr>
      </w:pPr>
      <w:r w:rsidRPr="006E2616">
        <w:rPr>
          <w:rFonts w:cs="Times New Roman"/>
        </w:rPr>
        <w:t>The p-value is not small enough to eliminate random assignment error as a plausible alternate explanation at the conventional level in political science.</w:t>
      </w:r>
    </w:p>
    <w:p w14:paraId="18A28BBA" w14:textId="77777777" w:rsidR="004F47F7" w:rsidRPr="006E2616" w:rsidRDefault="004F47F7" w:rsidP="00D65720">
      <w:pPr>
        <w:pStyle w:val="ListParagraph"/>
        <w:numPr>
          <w:ilvl w:val="0"/>
          <w:numId w:val="7"/>
        </w:numPr>
        <w:contextualSpacing w:val="0"/>
        <w:rPr>
          <w:rFonts w:cs="Times New Roman"/>
        </w:rPr>
      </w:pPr>
      <w:r w:rsidRPr="006E2616">
        <w:rPr>
          <w:rFonts w:cs="Times New Roman"/>
        </w:rPr>
        <w:t>The study did not include control variables to address alternate explanations.</w:t>
      </w:r>
    </w:p>
    <w:p w14:paraId="0BCAE8D0" w14:textId="77777777" w:rsidR="004F47F7" w:rsidRPr="006E2616" w:rsidRDefault="004F47F7" w:rsidP="00D65720">
      <w:pPr>
        <w:pStyle w:val="ListParagraph"/>
        <w:numPr>
          <w:ilvl w:val="0"/>
          <w:numId w:val="7"/>
        </w:numPr>
        <w:rPr>
          <w:rFonts w:cs="Times New Roman"/>
        </w:rPr>
      </w:pPr>
      <w:r w:rsidRPr="006E2616">
        <w:rPr>
          <w:rFonts w:cs="Times New Roman"/>
        </w:rPr>
        <w:t>None of the above.</w:t>
      </w:r>
    </w:p>
    <w:p w14:paraId="1D393833" w14:textId="77777777" w:rsidR="004F47F7" w:rsidRPr="006E2616" w:rsidRDefault="004F47F7" w:rsidP="00BA161F"/>
    <w:p w14:paraId="71E040C7" w14:textId="03A4378B" w:rsidR="00A04151" w:rsidRPr="006E2616" w:rsidRDefault="00A04151" w:rsidP="00A04151">
      <w:pPr>
        <w:pStyle w:val="ListParagraph"/>
        <w:ind w:left="360"/>
      </w:pPr>
      <w:r w:rsidRPr="006E2616">
        <w:t xml:space="preserve">Suppose that research </w:t>
      </w:r>
      <w:r w:rsidR="007D79C9">
        <w:t>using</w:t>
      </w:r>
      <w:r w:rsidRPr="006E2616">
        <w:t xml:space="preserve"> a random sample of U.S. residents indicates that, on average, </w:t>
      </w:r>
      <w:r w:rsidR="007D79C9" w:rsidRPr="006E2616">
        <w:t>U.S. residents</w:t>
      </w:r>
      <w:r w:rsidRPr="006E2616">
        <w:t xml:space="preserve"> who lift weights have higher levels of testosterone than </w:t>
      </w:r>
      <w:r w:rsidR="007D79C9" w:rsidRPr="006E2616">
        <w:t>U.S. residents</w:t>
      </w:r>
      <w:r w:rsidRPr="006E2616">
        <w:t xml:space="preserve"> who do not lift weights. </w:t>
      </w:r>
      <w:r w:rsidRPr="006E2616">
        <w:rPr>
          <w:rFonts w:cs="Times New Roman"/>
        </w:rPr>
        <w:t xml:space="preserve">The p-value is p&lt;0.001 for a test of the null hypothesis that the mean </w:t>
      </w:r>
      <w:r w:rsidRPr="006E2616">
        <w:t xml:space="preserve">level of testosterone among </w:t>
      </w:r>
      <w:r w:rsidR="007D79C9" w:rsidRPr="006E2616">
        <w:t xml:space="preserve">U.S. residents </w:t>
      </w:r>
      <w:r w:rsidRPr="006E2616">
        <w:t xml:space="preserve">who lift weights equals the </w:t>
      </w:r>
      <w:r w:rsidRPr="006E2616">
        <w:rPr>
          <w:rFonts w:cs="Times New Roman"/>
        </w:rPr>
        <w:t xml:space="preserve">mean </w:t>
      </w:r>
      <w:r w:rsidRPr="006E2616">
        <w:t xml:space="preserve">level of testosterone among </w:t>
      </w:r>
      <w:r w:rsidR="007D79C9" w:rsidRPr="006E2616">
        <w:t xml:space="preserve">U.S. residents </w:t>
      </w:r>
      <w:r w:rsidRPr="006E2616">
        <w:t xml:space="preserve">who do not lift weights. </w:t>
      </w:r>
      <w:r w:rsidRPr="006E2616">
        <w:rPr>
          <w:rFonts w:cs="Times New Roman"/>
        </w:rPr>
        <w:t xml:space="preserve">Is this sufficient evidence at the conventional level in political science to conclude that, at least on average among </w:t>
      </w:r>
      <w:r w:rsidR="007D79C9" w:rsidRPr="006E2616">
        <w:t>U.S. residents</w:t>
      </w:r>
      <w:r w:rsidRPr="006E2616">
        <w:rPr>
          <w:rFonts w:cs="Times New Roman"/>
        </w:rPr>
        <w:t xml:space="preserve">, lifting weights causes a </w:t>
      </w:r>
      <w:r w:rsidR="007D79C9" w:rsidRPr="006E2616">
        <w:t>U.S. resident</w:t>
      </w:r>
      <w:r w:rsidR="007D79C9">
        <w:t>'s</w:t>
      </w:r>
      <w:r w:rsidRPr="006E2616">
        <w:rPr>
          <w:rFonts w:cs="Times New Roman"/>
        </w:rPr>
        <w:t xml:space="preserve"> level of testosterone to be higher?</w:t>
      </w:r>
    </w:p>
    <w:p w14:paraId="4321F546" w14:textId="77777777" w:rsidR="00A04151" w:rsidRPr="006E2616" w:rsidRDefault="00A04151" w:rsidP="00D65720">
      <w:pPr>
        <w:pStyle w:val="ListParagraph"/>
        <w:numPr>
          <w:ilvl w:val="0"/>
          <w:numId w:val="3"/>
        </w:numPr>
      </w:pPr>
      <w:r w:rsidRPr="006E2616">
        <w:t>Yes</w:t>
      </w:r>
    </w:p>
    <w:p w14:paraId="08CB5653" w14:textId="77777777" w:rsidR="00A04151" w:rsidRPr="006E2616" w:rsidRDefault="00A04151" w:rsidP="00D65720">
      <w:pPr>
        <w:pStyle w:val="ListParagraph"/>
        <w:numPr>
          <w:ilvl w:val="0"/>
          <w:numId w:val="3"/>
        </w:numPr>
      </w:pPr>
      <w:r w:rsidRPr="006E2616">
        <w:t>No</w:t>
      </w:r>
    </w:p>
    <w:p w14:paraId="388F3048" w14:textId="77777777" w:rsidR="004F47F7" w:rsidRPr="006E2616" w:rsidRDefault="004F47F7" w:rsidP="00BA161F"/>
    <w:tbl>
      <w:tblPr>
        <w:tblStyle w:val="TableGrid"/>
        <w:tblpPr w:leftFromText="180" w:rightFromText="180" w:vertAnchor="text" w:horzAnchor="margin" w:tblpXSpec="right" w:tblpY="8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570"/>
        <w:gridCol w:w="904"/>
        <w:gridCol w:w="1144"/>
      </w:tblGrid>
      <w:tr w:rsidR="004C517C" w:rsidRPr="006E2616" w14:paraId="01E87A5B" w14:textId="77777777" w:rsidTr="004C517C">
        <w:tc>
          <w:tcPr>
            <w:tcW w:w="0" w:type="auto"/>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635BF25B" w14:textId="77777777" w:rsidR="004C517C" w:rsidRPr="006E2616" w:rsidRDefault="004C517C" w:rsidP="004C517C">
            <w:pPr>
              <w:jc w:val="center"/>
              <w:rPr>
                <w:rFonts w:cs="Times New Roman"/>
                <w:b/>
              </w:rPr>
            </w:pPr>
          </w:p>
        </w:tc>
        <w:tc>
          <w:tcPr>
            <w:tcW w:w="0" w:type="auto"/>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596D88FD" w14:textId="77777777" w:rsidR="004C517C" w:rsidRPr="006E2616" w:rsidRDefault="004C517C" w:rsidP="004C517C">
            <w:pPr>
              <w:jc w:val="center"/>
              <w:rPr>
                <w:rFonts w:cs="Times New Roman"/>
                <w:b/>
              </w:rPr>
            </w:pPr>
            <w:r w:rsidRPr="006E2616">
              <w:rPr>
                <w:rFonts w:cs="Times New Roman"/>
                <w:b/>
              </w:rPr>
              <w:t xml:space="preserve">Mean </w:t>
            </w:r>
          </w:p>
          <w:p w14:paraId="5A2D3C62" w14:textId="77777777" w:rsidR="004C517C" w:rsidRPr="006E2616" w:rsidRDefault="004C517C" w:rsidP="004C517C">
            <w:pPr>
              <w:jc w:val="center"/>
              <w:rPr>
                <w:rFonts w:cs="Times New Roman"/>
                <w:b/>
              </w:rPr>
            </w:pPr>
            <w:r w:rsidRPr="006E2616">
              <w:rPr>
                <w:rFonts w:cs="Times New Roman"/>
                <w:b/>
              </w:rPr>
              <w:t xml:space="preserve">political </w:t>
            </w:r>
          </w:p>
          <w:p w14:paraId="147259B7" w14:textId="77777777" w:rsidR="004C517C" w:rsidRPr="006E2616" w:rsidRDefault="004C517C" w:rsidP="004C517C">
            <w:pPr>
              <w:jc w:val="center"/>
              <w:rPr>
                <w:rFonts w:cs="Times New Roman"/>
                <w:b/>
              </w:rPr>
            </w:pPr>
            <w:r w:rsidRPr="006E2616">
              <w:rPr>
                <w:rFonts w:cs="Times New Roman"/>
                <w:b/>
              </w:rPr>
              <w:t>tolerance</w:t>
            </w:r>
          </w:p>
        </w:tc>
      </w:tr>
      <w:tr w:rsidR="004C517C" w:rsidRPr="006E2616" w14:paraId="27F96896" w14:textId="77777777" w:rsidTr="004C517C">
        <w:tc>
          <w:tcPr>
            <w:tcW w:w="0" w:type="auto"/>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4EAAA35D" w14:textId="77777777" w:rsidR="004C517C" w:rsidRPr="006E2616" w:rsidRDefault="004C517C" w:rsidP="004C517C">
            <w:pPr>
              <w:jc w:val="center"/>
              <w:rPr>
                <w:rFonts w:cs="Times New Roman"/>
                <w:b/>
                <w:bCs w:val="0"/>
              </w:rPr>
            </w:pPr>
            <w:r w:rsidRPr="006E2616">
              <w:rPr>
                <w:rFonts w:cs="Times New Roman"/>
                <w:b/>
              </w:rPr>
              <w:t>Group</w:t>
            </w:r>
          </w:p>
        </w:tc>
        <w:tc>
          <w:tcPr>
            <w:tcW w:w="0" w:type="auto"/>
            <w:tcBorders>
              <w:top w:val="single" w:sz="8" w:space="0" w:color="auto"/>
              <w:bottom w:val="single" w:sz="8" w:space="0" w:color="auto"/>
            </w:tcBorders>
            <w:tcMar>
              <w:top w:w="43" w:type="dxa"/>
              <w:left w:w="115" w:type="dxa"/>
              <w:bottom w:w="43" w:type="dxa"/>
              <w:right w:w="115" w:type="dxa"/>
            </w:tcMar>
            <w:vAlign w:val="center"/>
          </w:tcPr>
          <w:p w14:paraId="034A0A5F" w14:textId="77777777" w:rsidR="004C517C" w:rsidRPr="006E2616" w:rsidRDefault="004C517C" w:rsidP="004C517C">
            <w:pPr>
              <w:jc w:val="center"/>
              <w:rPr>
                <w:rFonts w:cs="Times New Roman"/>
                <w:b/>
                <w:bCs w:val="0"/>
              </w:rPr>
            </w:pPr>
            <w:r w:rsidRPr="006E2616">
              <w:rPr>
                <w:rFonts w:cs="Times New Roman"/>
                <w:b/>
              </w:rPr>
              <w:t>June 1</w:t>
            </w:r>
          </w:p>
        </w:tc>
        <w:tc>
          <w:tcPr>
            <w:tcW w:w="0" w:type="auto"/>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4A7C91FD" w14:textId="77777777" w:rsidR="004C517C" w:rsidRPr="006E2616" w:rsidRDefault="004C517C" w:rsidP="004C517C">
            <w:pPr>
              <w:jc w:val="center"/>
              <w:rPr>
                <w:rFonts w:cs="Times New Roman"/>
                <w:b/>
                <w:bCs w:val="0"/>
              </w:rPr>
            </w:pPr>
            <w:r w:rsidRPr="006E2616">
              <w:rPr>
                <w:rFonts w:cs="Times New Roman"/>
                <w:b/>
              </w:rPr>
              <w:t>August 1</w:t>
            </w:r>
          </w:p>
        </w:tc>
      </w:tr>
      <w:tr w:rsidR="004C517C" w:rsidRPr="006E2616" w14:paraId="0FEE203D" w14:textId="77777777" w:rsidTr="004C517C">
        <w:tc>
          <w:tcPr>
            <w:tcW w:w="0" w:type="auto"/>
            <w:tcBorders>
              <w:top w:val="single" w:sz="8" w:space="0" w:color="auto"/>
              <w:left w:val="single" w:sz="8" w:space="0" w:color="auto"/>
            </w:tcBorders>
            <w:tcMar>
              <w:top w:w="43" w:type="dxa"/>
              <w:left w:w="115" w:type="dxa"/>
              <w:bottom w:w="43" w:type="dxa"/>
              <w:right w:w="115" w:type="dxa"/>
            </w:tcMar>
            <w:vAlign w:val="center"/>
          </w:tcPr>
          <w:p w14:paraId="262E0C86" w14:textId="77777777" w:rsidR="004C517C" w:rsidRPr="006E2616" w:rsidRDefault="004C517C" w:rsidP="004C517C">
            <w:pPr>
              <w:rPr>
                <w:rFonts w:cs="Times New Roman"/>
              </w:rPr>
            </w:pPr>
            <w:r w:rsidRPr="006E2616">
              <w:rPr>
                <w:rFonts w:cs="Times New Roman"/>
              </w:rPr>
              <w:t>Study Abroad</w:t>
            </w:r>
          </w:p>
          <w:p w14:paraId="4FA335D6" w14:textId="77777777" w:rsidR="004C517C" w:rsidRPr="006E2616" w:rsidRDefault="004C517C" w:rsidP="004C517C">
            <w:pPr>
              <w:rPr>
                <w:rFonts w:cs="Times New Roman"/>
              </w:rPr>
            </w:pPr>
            <w:r w:rsidRPr="006E2616">
              <w:rPr>
                <w:rFonts w:cs="Times New Roman"/>
              </w:rPr>
              <w:t>students</w:t>
            </w:r>
          </w:p>
        </w:tc>
        <w:tc>
          <w:tcPr>
            <w:tcW w:w="0" w:type="auto"/>
            <w:tcBorders>
              <w:top w:val="single" w:sz="8" w:space="0" w:color="auto"/>
            </w:tcBorders>
            <w:tcMar>
              <w:top w:w="43" w:type="dxa"/>
              <w:left w:w="115" w:type="dxa"/>
              <w:bottom w:w="43" w:type="dxa"/>
              <w:right w:w="115" w:type="dxa"/>
            </w:tcMar>
            <w:vAlign w:val="center"/>
          </w:tcPr>
          <w:p w14:paraId="435545AF" w14:textId="77777777" w:rsidR="004C517C" w:rsidRPr="006E2616" w:rsidRDefault="004C517C" w:rsidP="004C517C">
            <w:pPr>
              <w:jc w:val="center"/>
              <w:rPr>
                <w:rFonts w:cs="Times New Roman"/>
              </w:rPr>
            </w:pPr>
            <w:r w:rsidRPr="006E2616">
              <w:rPr>
                <w:rFonts w:cs="Times New Roman"/>
              </w:rPr>
              <w:t>80</w:t>
            </w:r>
          </w:p>
        </w:tc>
        <w:tc>
          <w:tcPr>
            <w:tcW w:w="0" w:type="auto"/>
            <w:tcBorders>
              <w:top w:val="single" w:sz="8" w:space="0" w:color="auto"/>
              <w:right w:val="single" w:sz="8" w:space="0" w:color="auto"/>
            </w:tcBorders>
            <w:tcMar>
              <w:top w:w="43" w:type="dxa"/>
              <w:left w:w="115" w:type="dxa"/>
              <w:bottom w:w="43" w:type="dxa"/>
              <w:right w:w="115" w:type="dxa"/>
            </w:tcMar>
            <w:vAlign w:val="center"/>
          </w:tcPr>
          <w:p w14:paraId="395F167A" w14:textId="266F27F9" w:rsidR="004C517C" w:rsidRPr="006E2616" w:rsidRDefault="002676EC" w:rsidP="004C517C">
            <w:pPr>
              <w:jc w:val="center"/>
              <w:rPr>
                <w:rFonts w:cs="Times New Roman"/>
              </w:rPr>
            </w:pPr>
            <w:r w:rsidRPr="006E2616">
              <w:rPr>
                <w:rFonts w:cs="Times New Roman"/>
              </w:rPr>
              <w:t>95</w:t>
            </w:r>
          </w:p>
        </w:tc>
      </w:tr>
      <w:tr w:rsidR="004C517C" w:rsidRPr="006E2616" w14:paraId="09B219DF" w14:textId="77777777" w:rsidTr="004C517C">
        <w:tc>
          <w:tcPr>
            <w:tcW w:w="0" w:type="auto"/>
            <w:tcBorders>
              <w:left w:val="single" w:sz="8" w:space="0" w:color="auto"/>
              <w:bottom w:val="single" w:sz="8" w:space="0" w:color="auto"/>
            </w:tcBorders>
            <w:tcMar>
              <w:top w:w="43" w:type="dxa"/>
              <w:left w:w="115" w:type="dxa"/>
              <w:bottom w:w="43" w:type="dxa"/>
              <w:right w:w="115" w:type="dxa"/>
            </w:tcMar>
            <w:vAlign w:val="center"/>
          </w:tcPr>
          <w:p w14:paraId="3D577670" w14:textId="77777777" w:rsidR="004C517C" w:rsidRPr="006E2616" w:rsidRDefault="004C517C" w:rsidP="004C517C">
            <w:pPr>
              <w:rPr>
                <w:rFonts w:cs="Times New Roman"/>
              </w:rPr>
            </w:pPr>
            <w:r w:rsidRPr="006E2616">
              <w:rPr>
                <w:rFonts w:cs="Times New Roman"/>
              </w:rPr>
              <w:t xml:space="preserve">Comparison </w:t>
            </w:r>
          </w:p>
          <w:p w14:paraId="5F677BF4" w14:textId="77777777" w:rsidR="004C517C" w:rsidRPr="006E2616" w:rsidRDefault="004C517C" w:rsidP="004C517C">
            <w:pPr>
              <w:rPr>
                <w:rFonts w:cs="Times New Roman"/>
              </w:rPr>
            </w:pPr>
            <w:r w:rsidRPr="006E2616">
              <w:rPr>
                <w:rFonts w:cs="Times New Roman"/>
              </w:rPr>
              <w:t>students</w:t>
            </w:r>
          </w:p>
        </w:tc>
        <w:tc>
          <w:tcPr>
            <w:tcW w:w="0" w:type="auto"/>
            <w:tcBorders>
              <w:bottom w:val="single" w:sz="8" w:space="0" w:color="auto"/>
            </w:tcBorders>
            <w:tcMar>
              <w:top w:w="43" w:type="dxa"/>
              <w:left w:w="115" w:type="dxa"/>
              <w:bottom w:w="43" w:type="dxa"/>
              <w:right w:w="115" w:type="dxa"/>
            </w:tcMar>
            <w:vAlign w:val="center"/>
          </w:tcPr>
          <w:p w14:paraId="200B349B" w14:textId="77777777" w:rsidR="004C517C" w:rsidRPr="006E2616" w:rsidRDefault="004C517C" w:rsidP="004C517C">
            <w:pPr>
              <w:jc w:val="center"/>
              <w:rPr>
                <w:rFonts w:cs="Times New Roman"/>
              </w:rPr>
            </w:pPr>
            <w:r w:rsidRPr="006E2616">
              <w:rPr>
                <w:rFonts w:cs="Times New Roman"/>
              </w:rPr>
              <w:t>80</w:t>
            </w:r>
          </w:p>
        </w:tc>
        <w:tc>
          <w:tcPr>
            <w:tcW w:w="0" w:type="auto"/>
            <w:tcBorders>
              <w:bottom w:val="single" w:sz="8" w:space="0" w:color="auto"/>
              <w:right w:val="single" w:sz="8" w:space="0" w:color="auto"/>
            </w:tcBorders>
            <w:tcMar>
              <w:top w:w="43" w:type="dxa"/>
              <w:left w:w="115" w:type="dxa"/>
              <w:bottom w:w="43" w:type="dxa"/>
              <w:right w:w="115" w:type="dxa"/>
            </w:tcMar>
            <w:vAlign w:val="center"/>
          </w:tcPr>
          <w:p w14:paraId="68EDE68A" w14:textId="43E8FE6E" w:rsidR="004C517C" w:rsidRPr="006E2616" w:rsidRDefault="004C517C" w:rsidP="004C517C">
            <w:pPr>
              <w:jc w:val="center"/>
              <w:rPr>
                <w:rFonts w:cs="Times New Roman"/>
              </w:rPr>
            </w:pPr>
            <w:r w:rsidRPr="006E2616">
              <w:rPr>
                <w:rFonts w:cs="Times New Roman"/>
              </w:rPr>
              <w:t>8</w:t>
            </w:r>
            <w:r w:rsidR="002676EC" w:rsidRPr="006E2616">
              <w:rPr>
                <w:rFonts w:cs="Times New Roman"/>
              </w:rPr>
              <w:t>5</w:t>
            </w:r>
          </w:p>
        </w:tc>
      </w:tr>
    </w:tbl>
    <w:p w14:paraId="117A6CD1" w14:textId="330465DC" w:rsidR="007D3279" w:rsidRPr="006E2616" w:rsidRDefault="007D3279" w:rsidP="002676EC">
      <w:pPr>
        <w:pStyle w:val="ListParagraph"/>
        <w:ind w:left="360"/>
        <w:rPr>
          <w:rFonts w:cs="Times New Roman"/>
        </w:rPr>
      </w:pPr>
      <w:r w:rsidRPr="006E2616">
        <w:rPr>
          <w:rFonts w:cs="Times New Roman"/>
        </w:rPr>
        <w:t>Suppose that a researcher is interested in whether a Study Abroad experience affects students' political tolerance. The researchers collected data on June 1 (before the Study Abroad experience) and on August 1 (after the Study Abroad experience) from students who went on a Study Abroad experience and from similar students who did not go on a Study Abroad experience. Suppose that the researcher's data are in the table below, in which political tolerance is measured from 0 for extremely intolerant to 100 for extremely tolerant.</w:t>
      </w:r>
      <w:r w:rsidR="002676EC" w:rsidRPr="006E2616">
        <w:rPr>
          <w:rFonts w:cs="Times New Roman"/>
        </w:rPr>
        <w:t xml:space="preserve"> </w:t>
      </w:r>
      <w:r w:rsidRPr="006E2616">
        <w:t xml:space="preserve">If the researcher used a difference-in-differences design that compared Study Abroad students to the comparison students, the researcher's estimate of the effect of Study Abroad on political tolerance would be that Study Abroad </w:t>
      </w:r>
      <w:r w:rsidRPr="006E2616">
        <w:rPr>
          <w:rFonts w:cs="Times New Roman"/>
        </w:rPr>
        <w:t xml:space="preserve">made students in the sample on average </w:t>
      </w:r>
      <w:r w:rsidRPr="006E2616">
        <w:t>___.</w:t>
      </w:r>
    </w:p>
    <w:p w14:paraId="45EBF4F1" w14:textId="218D12FB" w:rsidR="002F0C8F" w:rsidRPr="006E2616" w:rsidRDefault="007D3279" w:rsidP="001C21B5">
      <w:pPr>
        <w:pStyle w:val="ListParagraph"/>
        <w:numPr>
          <w:ilvl w:val="0"/>
          <w:numId w:val="15"/>
        </w:numPr>
        <w:ind w:left="724"/>
        <w:contextualSpacing w:val="0"/>
        <w:rPr>
          <w:rFonts w:cs="Times New Roman"/>
        </w:rPr>
      </w:pPr>
      <w:r w:rsidRPr="006E2616">
        <w:rPr>
          <w:rFonts w:cs="Times New Roman"/>
        </w:rPr>
        <w:t>a</w:t>
      </w:r>
      <w:r w:rsidR="002F0C8F" w:rsidRPr="006E2616">
        <w:rPr>
          <w:rFonts w:cs="Times New Roman"/>
        </w:rPr>
        <w:t xml:space="preserve">bout </w:t>
      </w:r>
      <w:r w:rsidR="006E2616" w:rsidRPr="006E2616">
        <w:rPr>
          <w:rFonts w:cs="Times New Roman"/>
        </w:rPr>
        <w:t>0</w:t>
      </w:r>
      <w:r w:rsidR="002F0C8F" w:rsidRPr="006E2616">
        <w:rPr>
          <w:rFonts w:cs="Times New Roman"/>
        </w:rPr>
        <w:t xml:space="preserve"> units more tolerant</w:t>
      </w:r>
    </w:p>
    <w:p w14:paraId="20AD3E68" w14:textId="14AEDA08" w:rsidR="007D3279" w:rsidRPr="006E2616" w:rsidRDefault="002F0C8F" w:rsidP="001C21B5">
      <w:pPr>
        <w:pStyle w:val="ListParagraph"/>
        <w:numPr>
          <w:ilvl w:val="0"/>
          <w:numId w:val="15"/>
        </w:numPr>
        <w:ind w:left="724"/>
        <w:contextualSpacing w:val="0"/>
        <w:rPr>
          <w:rFonts w:cs="Times New Roman"/>
        </w:rPr>
      </w:pPr>
      <w:r w:rsidRPr="006E2616">
        <w:rPr>
          <w:rFonts w:cs="Times New Roman"/>
        </w:rPr>
        <w:t>a</w:t>
      </w:r>
      <w:r w:rsidR="007D3279" w:rsidRPr="006E2616">
        <w:rPr>
          <w:rFonts w:cs="Times New Roman"/>
        </w:rPr>
        <w:t xml:space="preserve">bout </w:t>
      </w:r>
      <w:r w:rsidRPr="006E2616">
        <w:rPr>
          <w:rFonts w:cs="Times New Roman"/>
        </w:rPr>
        <w:t>5</w:t>
      </w:r>
      <w:r w:rsidR="007D3279" w:rsidRPr="006E2616">
        <w:rPr>
          <w:rFonts w:cs="Times New Roman"/>
        </w:rPr>
        <w:t xml:space="preserve"> units more tolerant</w:t>
      </w:r>
    </w:p>
    <w:p w14:paraId="313FE344" w14:textId="353D170B" w:rsidR="007D3279" w:rsidRPr="006E2616" w:rsidRDefault="007D3279" w:rsidP="001C21B5">
      <w:pPr>
        <w:pStyle w:val="ListParagraph"/>
        <w:numPr>
          <w:ilvl w:val="0"/>
          <w:numId w:val="15"/>
        </w:numPr>
        <w:ind w:left="724"/>
        <w:contextualSpacing w:val="0"/>
        <w:rPr>
          <w:rFonts w:cs="Times New Roman"/>
        </w:rPr>
      </w:pPr>
      <w:r w:rsidRPr="006E2616">
        <w:rPr>
          <w:rFonts w:cs="Times New Roman"/>
        </w:rPr>
        <w:t xml:space="preserve">about </w:t>
      </w:r>
      <w:r w:rsidR="002F0C8F" w:rsidRPr="006E2616">
        <w:rPr>
          <w:rFonts w:cs="Times New Roman"/>
        </w:rPr>
        <w:t>10</w:t>
      </w:r>
      <w:r w:rsidRPr="006E2616">
        <w:rPr>
          <w:rFonts w:cs="Times New Roman"/>
        </w:rPr>
        <w:t xml:space="preserve"> units more tolerant</w:t>
      </w:r>
    </w:p>
    <w:p w14:paraId="7AFE661D" w14:textId="5345B2FE" w:rsidR="007D3279" w:rsidRPr="006E2616" w:rsidRDefault="007D3279" w:rsidP="001C21B5">
      <w:pPr>
        <w:pStyle w:val="ListParagraph"/>
        <w:numPr>
          <w:ilvl w:val="0"/>
          <w:numId w:val="15"/>
        </w:numPr>
        <w:ind w:left="724"/>
        <w:contextualSpacing w:val="0"/>
        <w:rPr>
          <w:rFonts w:cs="Times New Roman"/>
        </w:rPr>
      </w:pPr>
      <w:r w:rsidRPr="006E2616">
        <w:rPr>
          <w:rFonts w:cs="Times New Roman"/>
        </w:rPr>
        <w:t xml:space="preserve">about </w:t>
      </w:r>
      <w:r w:rsidR="002F0C8F" w:rsidRPr="006E2616">
        <w:rPr>
          <w:rFonts w:cs="Times New Roman"/>
        </w:rPr>
        <w:t>15</w:t>
      </w:r>
      <w:r w:rsidRPr="006E2616">
        <w:rPr>
          <w:rFonts w:cs="Times New Roman"/>
        </w:rPr>
        <w:t xml:space="preserve"> units more tolerant</w:t>
      </w:r>
    </w:p>
    <w:p w14:paraId="12E13624" w14:textId="77777777" w:rsidR="0095695C" w:rsidRPr="006E2616" w:rsidRDefault="0095695C" w:rsidP="0095695C">
      <w:pPr>
        <w:pStyle w:val="Heading2"/>
      </w:pPr>
      <w:r w:rsidRPr="006E2616">
        <w:lastRenderedPageBreak/>
        <w:t>POL 138 Quantitative Reasoning in Political Science</w:t>
      </w:r>
    </w:p>
    <w:p w14:paraId="64E6BC9F" w14:textId="03C2322B" w:rsidR="0095695C" w:rsidRPr="006E2616" w:rsidRDefault="0095695C" w:rsidP="0095695C">
      <w:pPr>
        <w:pStyle w:val="Heading2"/>
      </w:pPr>
      <w:r w:rsidRPr="006E2616">
        <w:t xml:space="preserve">Practice for the Final Exam </w:t>
      </w:r>
      <w:r w:rsidR="003D764C">
        <w:t>2</w:t>
      </w:r>
    </w:p>
    <w:p w14:paraId="60E1A54D" w14:textId="77777777" w:rsidR="0095695C" w:rsidRDefault="0095695C" w:rsidP="0095695C">
      <w:pPr>
        <w:ind w:left="720" w:hanging="360"/>
      </w:pPr>
    </w:p>
    <w:p w14:paraId="1A83CCC1" w14:textId="77777777" w:rsidR="00BA161F" w:rsidRPr="006E2616" w:rsidRDefault="00BA161F" w:rsidP="00BA161F">
      <w:pPr>
        <w:sectPr w:rsidR="00BA161F" w:rsidRPr="006E2616" w:rsidSect="00F97BD6">
          <w:footerReference w:type="default" r:id="rId8"/>
          <w:type w:val="continuous"/>
          <w:pgSz w:w="12240" w:h="15840"/>
          <w:pgMar w:top="1440" w:right="1440" w:bottom="1440" w:left="1440" w:header="720" w:footer="720" w:gutter="0"/>
          <w:cols w:space="720"/>
          <w:docGrid w:linePitch="360"/>
        </w:sectPr>
      </w:pPr>
    </w:p>
    <w:p w14:paraId="1E573A67" w14:textId="77777777" w:rsidR="00BA161F" w:rsidRPr="006E2616" w:rsidRDefault="00BA161F" w:rsidP="000C0C31">
      <w:pPr>
        <w:jc w:val="center"/>
      </w:pPr>
      <w:r w:rsidRPr="006E2616">
        <w:rPr>
          <w:noProof/>
        </w:rPr>
        <w:drawing>
          <wp:inline distT="0" distB="0" distL="0" distR="0" wp14:anchorId="1AAC3008" wp14:editId="7DA38F5A">
            <wp:extent cx="5787025" cy="2184355"/>
            <wp:effectExtent l="0" t="0" r="4445" b="6985"/>
            <wp:docPr id="1904010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biLevel thresh="25000"/>
                      <a:extLst>
                        <a:ext uri="{28A0092B-C50C-407E-A947-70E740481C1C}">
                          <a14:useLocalDpi xmlns:a14="http://schemas.microsoft.com/office/drawing/2010/main" val="0"/>
                        </a:ext>
                      </a:extLst>
                    </a:blip>
                    <a:srcRect/>
                    <a:stretch>
                      <a:fillRect/>
                    </a:stretch>
                  </pic:blipFill>
                  <pic:spPr bwMode="auto">
                    <a:xfrm>
                      <a:off x="0" y="0"/>
                      <a:ext cx="5809813" cy="2192956"/>
                    </a:xfrm>
                    <a:prstGeom prst="rect">
                      <a:avLst/>
                    </a:prstGeom>
                    <a:noFill/>
                    <a:ln>
                      <a:noFill/>
                    </a:ln>
                  </pic:spPr>
                </pic:pic>
              </a:graphicData>
            </a:graphic>
          </wp:inline>
        </w:drawing>
      </w:r>
    </w:p>
    <w:p w14:paraId="13683C17" w14:textId="3C82C1A4" w:rsidR="00BA161F" w:rsidRPr="006E2616" w:rsidRDefault="00BA161F" w:rsidP="0095695C">
      <w:pPr>
        <w:pStyle w:val="ListParagraph"/>
        <w:ind w:left="360"/>
      </w:pPr>
      <w:r w:rsidRPr="006E2616">
        <w:t xml:space="preserve">The plot above is the distribution of the number of heads expected from eight flips of a fair coin. Which one of the following calculations will indicate the p-value for a test of the null hypothesis that a coin is fair, for a coin that lands on heads </w:t>
      </w:r>
      <w:r w:rsidR="0095695C">
        <w:t>5</w:t>
      </w:r>
      <w:r w:rsidRPr="006E2616">
        <w:t xml:space="preserve"> times in 8 flips? Note that the numbers in the options below are decimal percentages, so that, for example, 3.1% is written as 0.031.</w:t>
      </w:r>
    </w:p>
    <w:p w14:paraId="20D5FA73" w14:textId="3A861983" w:rsidR="00BA161F" w:rsidRPr="006E2616" w:rsidRDefault="00BA161F" w:rsidP="00D65720">
      <w:pPr>
        <w:pStyle w:val="ListParagraph"/>
        <w:numPr>
          <w:ilvl w:val="0"/>
          <w:numId w:val="9"/>
        </w:numPr>
        <w:ind w:left="720"/>
      </w:pPr>
      <w:r w:rsidRPr="006E2616">
        <w:t>0.</w:t>
      </w:r>
      <w:r w:rsidR="0095695C">
        <w:t>219</w:t>
      </w:r>
    </w:p>
    <w:p w14:paraId="4BF5DB2E" w14:textId="0EC7052C" w:rsidR="00BA161F" w:rsidRDefault="00BA161F" w:rsidP="00D65720">
      <w:pPr>
        <w:pStyle w:val="ListParagraph"/>
        <w:numPr>
          <w:ilvl w:val="0"/>
          <w:numId w:val="9"/>
        </w:numPr>
        <w:ind w:left="720"/>
      </w:pPr>
      <w:r w:rsidRPr="006E2616">
        <w:t>0.</w:t>
      </w:r>
      <w:r w:rsidR="0095695C">
        <w:t>219</w:t>
      </w:r>
      <w:r w:rsidRPr="006E2616">
        <w:t xml:space="preserve"> + 0.</w:t>
      </w:r>
      <w:r w:rsidR="0095695C">
        <w:t>219</w:t>
      </w:r>
    </w:p>
    <w:p w14:paraId="477A7D8F" w14:textId="77777777" w:rsidR="0095695C" w:rsidRPr="006E2616" w:rsidRDefault="0095695C" w:rsidP="00D65720">
      <w:pPr>
        <w:pStyle w:val="ListParagraph"/>
        <w:numPr>
          <w:ilvl w:val="0"/>
          <w:numId w:val="9"/>
        </w:numPr>
        <w:ind w:left="720"/>
      </w:pPr>
      <w:r w:rsidRPr="006E2616">
        <w:t>0.219 + 0.273 + 0.219</w:t>
      </w:r>
    </w:p>
    <w:p w14:paraId="54818477" w14:textId="595CD85E" w:rsidR="0095695C" w:rsidRPr="006E2616" w:rsidRDefault="0095695C" w:rsidP="00D65720">
      <w:pPr>
        <w:pStyle w:val="ListParagraph"/>
        <w:numPr>
          <w:ilvl w:val="0"/>
          <w:numId w:val="9"/>
        </w:numPr>
        <w:ind w:left="720"/>
      </w:pPr>
      <w:r>
        <w:t>0.219 + 0.109 + 0.031 + 0.004</w:t>
      </w:r>
    </w:p>
    <w:p w14:paraId="69206414" w14:textId="4CCC5B58" w:rsidR="00BA161F" w:rsidRPr="0095695C" w:rsidRDefault="00BA161F" w:rsidP="00D65720">
      <w:pPr>
        <w:pStyle w:val="ListParagraph"/>
        <w:numPr>
          <w:ilvl w:val="0"/>
          <w:numId w:val="9"/>
        </w:numPr>
        <w:ind w:left="720"/>
        <w:rPr>
          <w:rFonts w:cs="Times New Roman"/>
        </w:rPr>
      </w:pPr>
      <w:r w:rsidRPr="006E2616">
        <w:t xml:space="preserve">0.004 + 0.031 + 0.109 + </w:t>
      </w:r>
      <w:r w:rsidR="0095695C">
        <w:t xml:space="preserve">0.219 + 0.219 + </w:t>
      </w:r>
      <w:r w:rsidRPr="006E2616">
        <w:t>0.109 + 0.031 + 0.004</w:t>
      </w:r>
    </w:p>
    <w:p w14:paraId="169CB659" w14:textId="77777777" w:rsidR="00BA161F" w:rsidRDefault="00BA161F" w:rsidP="00BA161F">
      <w:pPr>
        <w:rPr>
          <w:rFonts w:cs="Times New Roman"/>
        </w:rPr>
      </w:pPr>
    </w:p>
    <w:p w14:paraId="4DAFCEBF" w14:textId="77777777" w:rsidR="0095695C" w:rsidRPr="006E2616" w:rsidRDefault="0095695C" w:rsidP="0095695C">
      <w:pPr>
        <w:pStyle w:val="ListParagraph"/>
        <w:ind w:left="360"/>
      </w:pPr>
      <w:r w:rsidRPr="006E2616">
        <w:t>Suppose that, on January 1, 2024, Freedonia enacted the Unemployment Reduction Act. Researchers are interested in assessing the extent to which the Unemployment Reduction Act caused a change in Freedonia's unemployment rate. Oceania is a country immediately next to Freedonia and is similar to Freedonia in every way, except that Oceania did not enact any legislation to reduce unemployment.</w:t>
      </w:r>
    </w:p>
    <w:p w14:paraId="6C9B5EA9" w14:textId="77777777" w:rsidR="0095695C" w:rsidRPr="006E2616" w:rsidRDefault="0095695C" w:rsidP="0095695C">
      <w:pPr>
        <w:rPr>
          <w:rFonts w:cs="Times New Roma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710"/>
        <w:gridCol w:w="710"/>
        <w:gridCol w:w="710"/>
        <w:gridCol w:w="710"/>
      </w:tblGrid>
      <w:tr w:rsidR="0095695C" w:rsidRPr="006E2616" w14:paraId="7751A180" w14:textId="77777777" w:rsidTr="00BF2EC8">
        <w:trPr>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1F8B5B1A" w14:textId="77777777" w:rsidR="0095695C" w:rsidRPr="006E2616" w:rsidRDefault="0095695C" w:rsidP="00BF2EC8">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4032C8E4" w14:textId="77777777" w:rsidR="0095695C" w:rsidRPr="006E2616" w:rsidRDefault="0095695C" w:rsidP="00BF2EC8">
            <w:pPr>
              <w:jc w:val="center"/>
              <w:rPr>
                <w:rFonts w:cs="Times New Roman"/>
                <w:b/>
                <w:bCs w:val="0"/>
              </w:rPr>
            </w:pPr>
            <w:r w:rsidRPr="006E2616">
              <w:rPr>
                <w:rFonts w:cs="Times New Roman"/>
                <w:b/>
                <w:bCs w:val="0"/>
              </w:rPr>
              <w:t>Unemployment Rate</w:t>
            </w:r>
          </w:p>
        </w:tc>
      </w:tr>
      <w:tr w:rsidR="0095695C" w:rsidRPr="006E2616" w14:paraId="0B7BD574" w14:textId="77777777" w:rsidTr="00BF2EC8">
        <w:trPr>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11ADA111" w14:textId="77777777" w:rsidR="0095695C" w:rsidRPr="006E2616" w:rsidRDefault="0095695C" w:rsidP="00BF2EC8">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4D08BC80" w14:textId="77777777" w:rsidR="0095695C" w:rsidRPr="006E2616" w:rsidRDefault="0095695C" w:rsidP="00BF2EC8">
            <w:pPr>
              <w:jc w:val="center"/>
              <w:rPr>
                <w:rFonts w:cs="Times New Roman"/>
                <w:b/>
                <w:bCs w:val="0"/>
              </w:rPr>
            </w:pPr>
            <w:r w:rsidRPr="006E2616">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63346499" w14:textId="77777777" w:rsidR="0095695C" w:rsidRPr="006E2616" w:rsidRDefault="0095695C" w:rsidP="00BF2EC8">
            <w:pPr>
              <w:jc w:val="center"/>
              <w:rPr>
                <w:rFonts w:cs="Times New Roman"/>
                <w:b/>
                <w:bCs w:val="0"/>
              </w:rPr>
            </w:pPr>
            <w:r w:rsidRPr="006E2616">
              <w:rPr>
                <w:rFonts w:cs="Times New Roman"/>
                <w:b/>
                <w:bCs w:val="0"/>
              </w:rPr>
              <w:t>2022</w:t>
            </w:r>
          </w:p>
        </w:tc>
        <w:tc>
          <w:tcPr>
            <w:tcW w:w="0" w:type="auto"/>
            <w:tcBorders>
              <w:top w:val="nil"/>
              <w:bottom w:val="single" w:sz="8" w:space="0" w:color="auto"/>
            </w:tcBorders>
            <w:tcMar>
              <w:top w:w="43" w:type="dxa"/>
              <w:left w:w="115" w:type="dxa"/>
              <w:bottom w:w="43" w:type="dxa"/>
              <w:right w:w="115" w:type="dxa"/>
            </w:tcMar>
          </w:tcPr>
          <w:p w14:paraId="6C042336" w14:textId="77777777" w:rsidR="0095695C" w:rsidRPr="006E2616" w:rsidRDefault="0095695C" w:rsidP="00BF2EC8">
            <w:pPr>
              <w:jc w:val="center"/>
              <w:rPr>
                <w:rFonts w:cs="Times New Roman"/>
                <w:b/>
                <w:bCs w:val="0"/>
              </w:rPr>
            </w:pPr>
            <w:r w:rsidRPr="006E2616">
              <w:rPr>
                <w:rFonts w:cs="Times New Roman"/>
                <w:b/>
                <w:bCs w:val="0"/>
              </w:rPr>
              <w:t>2023</w:t>
            </w:r>
          </w:p>
        </w:tc>
        <w:tc>
          <w:tcPr>
            <w:tcW w:w="0" w:type="auto"/>
            <w:tcBorders>
              <w:top w:val="nil"/>
              <w:bottom w:val="single" w:sz="8" w:space="0" w:color="auto"/>
              <w:right w:val="single" w:sz="8" w:space="0" w:color="auto"/>
            </w:tcBorders>
            <w:tcMar>
              <w:top w:w="43" w:type="dxa"/>
              <w:left w:w="115" w:type="dxa"/>
              <w:bottom w:w="43" w:type="dxa"/>
              <w:right w:w="115" w:type="dxa"/>
            </w:tcMar>
          </w:tcPr>
          <w:p w14:paraId="75C7C274" w14:textId="77777777" w:rsidR="0095695C" w:rsidRPr="006E2616" w:rsidRDefault="0095695C" w:rsidP="00BF2EC8">
            <w:pPr>
              <w:jc w:val="center"/>
              <w:rPr>
                <w:rFonts w:cs="Times New Roman"/>
                <w:b/>
                <w:bCs w:val="0"/>
              </w:rPr>
            </w:pPr>
            <w:r w:rsidRPr="006E2616">
              <w:rPr>
                <w:rFonts w:cs="Times New Roman"/>
                <w:b/>
                <w:bCs w:val="0"/>
              </w:rPr>
              <w:t>2024</w:t>
            </w:r>
          </w:p>
        </w:tc>
      </w:tr>
      <w:tr w:rsidR="0095695C" w:rsidRPr="006E2616" w14:paraId="149C419D" w14:textId="77777777" w:rsidTr="00BF2EC8">
        <w:trPr>
          <w:jc w:val="right"/>
        </w:trPr>
        <w:tc>
          <w:tcPr>
            <w:tcW w:w="0" w:type="auto"/>
            <w:tcBorders>
              <w:top w:val="single" w:sz="8" w:space="0" w:color="auto"/>
              <w:left w:val="single" w:sz="8" w:space="0" w:color="auto"/>
              <w:bottom w:val="single" w:sz="6" w:space="0" w:color="auto"/>
            </w:tcBorders>
            <w:tcMar>
              <w:top w:w="43" w:type="dxa"/>
              <w:left w:w="115" w:type="dxa"/>
              <w:bottom w:w="43" w:type="dxa"/>
              <w:right w:w="115" w:type="dxa"/>
            </w:tcMar>
          </w:tcPr>
          <w:p w14:paraId="28B8799E" w14:textId="77777777" w:rsidR="0095695C" w:rsidRPr="006E2616" w:rsidRDefault="0095695C" w:rsidP="00BF2EC8">
            <w:pPr>
              <w:rPr>
                <w:rFonts w:cs="Times New Roman"/>
              </w:rPr>
            </w:pPr>
            <w:r w:rsidRPr="006E2616">
              <w:rPr>
                <w:rFonts w:cs="Times New Roman"/>
              </w:rPr>
              <w:t>Freedonia</w:t>
            </w:r>
          </w:p>
        </w:tc>
        <w:tc>
          <w:tcPr>
            <w:tcW w:w="0" w:type="auto"/>
            <w:tcBorders>
              <w:top w:val="single" w:sz="8" w:space="0" w:color="auto"/>
              <w:bottom w:val="single" w:sz="6" w:space="0" w:color="auto"/>
            </w:tcBorders>
            <w:tcMar>
              <w:top w:w="43" w:type="dxa"/>
              <w:left w:w="115" w:type="dxa"/>
              <w:bottom w:w="43" w:type="dxa"/>
              <w:right w:w="115" w:type="dxa"/>
            </w:tcMar>
          </w:tcPr>
          <w:p w14:paraId="481E57E6" w14:textId="419E2EA9" w:rsidR="0095695C" w:rsidRPr="006E2616" w:rsidRDefault="0095695C" w:rsidP="00BF2EC8">
            <w:pPr>
              <w:jc w:val="center"/>
              <w:rPr>
                <w:rFonts w:cs="Times New Roman"/>
              </w:rPr>
            </w:pPr>
            <w:r>
              <w:rPr>
                <w:rFonts w:cs="Times New Roman"/>
              </w:rPr>
              <w:t>10</w:t>
            </w:r>
            <w:r w:rsidRPr="006E2616">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4F1EE08E" w14:textId="3F3106A2" w:rsidR="0095695C" w:rsidRPr="006E2616" w:rsidRDefault="0095695C" w:rsidP="00BF2EC8">
            <w:pPr>
              <w:jc w:val="center"/>
              <w:rPr>
                <w:rFonts w:cs="Times New Roman"/>
              </w:rPr>
            </w:pPr>
            <w:r>
              <w:rPr>
                <w:rFonts w:cs="Times New Roman"/>
              </w:rPr>
              <w:t>10</w:t>
            </w:r>
            <w:r w:rsidRPr="006E2616">
              <w:rPr>
                <w:rFonts w:cs="Times New Roman"/>
              </w:rPr>
              <w:t>%</w:t>
            </w:r>
          </w:p>
        </w:tc>
        <w:tc>
          <w:tcPr>
            <w:tcW w:w="0" w:type="auto"/>
            <w:tcBorders>
              <w:top w:val="single" w:sz="8" w:space="0" w:color="auto"/>
              <w:bottom w:val="single" w:sz="6" w:space="0" w:color="auto"/>
            </w:tcBorders>
            <w:tcMar>
              <w:top w:w="43" w:type="dxa"/>
              <w:left w:w="115" w:type="dxa"/>
              <w:bottom w:w="43" w:type="dxa"/>
              <w:right w:w="115" w:type="dxa"/>
            </w:tcMar>
          </w:tcPr>
          <w:p w14:paraId="6E9984CB" w14:textId="5156A6F3" w:rsidR="0095695C" w:rsidRPr="006E2616" w:rsidRDefault="0095695C" w:rsidP="00BF2EC8">
            <w:pPr>
              <w:jc w:val="center"/>
              <w:rPr>
                <w:rFonts w:cs="Times New Roman"/>
              </w:rPr>
            </w:pPr>
            <w:r>
              <w:rPr>
                <w:rFonts w:cs="Times New Roman"/>
              </w:rPr>
              <w:t>10</w:t>
            </w:r>
            <w:r w:rsidRPr="006E2616">
              <w:rPr>
                <w:rFonts w:cs="Times New Roman"/>
              </w:rPr>
              <w:t>%</w:t>
            </w:r>
          </w:p>
        </w:tc>
        <w:tc>
          <w:tcPr>
            <w:tcW w:w="0" w:type="auto"/>
            <w:tcBorders>
              <w:top w:val="single" w:sz="8" w:space="0" w:color="auto"/>
              <w:bottom w:val="single" w:sz="6" w:space="0" w:color="auto"/>
              <w:right w:val="single" w:sz="8" w:space="0" w:color="auto"/>
            </w:tcBorders>
            <w:tcMar>
              <w:top w:w="43" w:type="dxa"/>
              <w:left w:w="115" w:type="dxa"/>
              <w:bottom w:w="43" w:type="dxa"/>
              <w:right w:w="115" w:type="dxa"/>
            </w:tcMar>
          </w:tcPr>
          <w:p w14:paraId="12885E74" w14:textId="7E293D99" w:rsidR="0095695C" w:rsidRPr="006E2616" w:rsidRDefault="0095695C" w:rsidP="00BF2EC8">
            <w:pPr>
              <w:jc w:val="center"/>
              <w:rPr>
                <w:rFonts w:cs="Times New Roman"/>
              </w:rPr>
            </w:pPr>
            <w:r>
              <w:rPr>
                <w:rFonts w:cs="Times New Roman"/>
              </w:rPr>
              <w:t>5</w:t>
            </w:r>
            <w:r w:rsidRPr="006E2616">
              <w:rPr>
                <w:rFonts w:cs="Times New Roman"/>
              </w:rPr>
              <w:t>%</w:t>
            </w:r>
          </w:p>
        </w:tc>
      </w:tr>
      <w:tr w:rsidR="0095695C" w:rsidRPr="006E2616" w14:paraId="7717472E" w14:textId="77777777" w:rsidTr="00BF2EC8">
        <w:trPr>
          <w:jc w:val="right"/>
        </w:trPr>
        <w:tc>
          <w:tcPr>
            <w:tcW w:w="0" w:type="auto"/>
            <w:tcBorders>
              <w:top w:val="single" w:sz="6" w:space="0" w:color="auto"/>
              <w:left w:val="single" w:sz="8" w:space="0" w:color="auto"/>
              <w:bottom w:val="single" w:sz="8" w:space="0" w:color="auto"/>
            </w:tcBorders>
            <w:tcMar>
              <w:top w:w="43" w:type="dxa"/>
              <w:left w:w="115" w:type="dxa"/>
              <w:bottom w:w="43" w:type="dxa"/>
              <w:right w:w="115" w:type="dxa"/>
            </w:tcMar>
          </w:tcPr>
          <w:p w14:paraId="498DE3B9" w14:textId="77777777" w:rsidR="0095695C" w:rsidRPr="006E2616" w:rsidRDefault="0095695C" w:rsidP="00BF2EC8">
            <w:pPr>
              <w:rPr>
                <w:rFonts w:cs="Times New Roman"/>
              </w:rPr>
            </w:pPr>
            <w:r w:rsidRPr="006E2616">
              <w:rPr>
                <w:rFonts w:cs="Times New Roman"/>
              </w:rPr>
              <w:t>Oceania</w:t>
            </w:r>
          </w:p>
        </w:tc>
        <w:tc>
          <w:tcPr>
            <w:tcW w:w="0" w:type="auto"/>
            <w:tcBorders>
              <w:top w:val="single" w:sz="6" w:space="0" w:color="auto"/>
              <w:bottom w:val="single" w:sz="8" w:space="0" w:color="auto"/>
            </w:tcBorders>
            <w:tcMar>
              <w:top w:w="43" w:type="dxa"/>
              <w:left w:w="115" w:type="dxa"/>
              <w:bottom w:w="43" w:type="dxa"/>
              <w:right w:w="115" w:type="dxa"/>
            </w:tcMar>
          </w:tcPr>
          <w:p w14:paraId="6366192E" w14:textId="1893FDB8" w:rsidR="0095695C" w:rsidRPr="006E2616" w:rsidRDefault="0095695C" w:rsidP="00BF2EC8">
            <w:pPr>
              <w:jc w:val="center"/>
              <w:rPr>
                <w:rFonts w:cs="Times New Roman"/>
              </w:rPr>
            </w:pPr>
            <w:r>
              <w:rPr>
                <w:rFonts w:cs="Times New Roman"/>
              </w:rPr>
              <w:t>12</w:t>
            </w:r>
            <w:r w:rsidRPr="006E2616">
              <w:rPr>
                <w:rFonts w:cs="Times New Roman"/>
              </w:rPr>
              <w:t>%</w:t>
            </w:r>
          </w:p>
        </w:tc>
        <w:tc>
          <w:tcPr>
            <w:tcW w:w="0" w:type="auto"/>
            <w:tcBorders>
              <w:top w:val="single" w:sz="6" w:space="0" w:color="auto"/>
              <w:bottom w:val="single" w:sz="8" w:space="0" w:color="auto"/>
            </w:tcBorders>
            <w:tcMar>
              <w:top w:w="43" w:type="dxa"/>
              <w:left w:w="115" w:type="dxa"/>
              <w:bottom w:w="43" w:type="dxa"/>
              <w:right w:w="115" w:type="dxa"/>
            </w:tcMar>
          </w:tcPr>
          <w:p w14:paraId="5EE0E5E8" w14:textId="53E69203" w:rsidR="0095695C" w:rsidRPr="006E2616" w:rsidRDefault="0095695C" w:rsidP="00BF2EC8">
            <w:pPr>
              <w:jc w:val="center"/>
              <w:rPr>
                <w:rFonts w:cs="Times New Roman"/>
              </w:rPr>
            </w:pPr>
            <w:r>
              <w:rPr>
                <w:rFonts w:cs="Times New Roman"/>
              </w:rPr>
              <w:t>12</w:t>
            </w:r>
            <w:r w:rsidRPr="006E2616">
              <w:rPr>
                <w:rFonts w:cs="Times New Roman"/>
              </w:rPr>
              <w:t>%</w:t>
            </w:r>
          </w:p>
        </w:tc>
        <w:tc>
          <w:tcPr>
            <w:tcW w:w="0" w:type="auto"/>
            <w:tcBorders>
              <w:top w:val="single" w:sz="6" w:space="0" w:color="auto"/>
              <w:bottom w:val="single" w:sz="8" w:space="0" w:color="auto"/>
            </w:tcBorders>
            <w:tcMar>
              <w:top w:w="43" w:type="dxa"/>
              <w:left w:w="115" w:type="dxa"/>
              <w:bottom w:w="43" w:type="dxa"/>
              <w:right w:w="115" w:type="dxa"/>
            </w:tcMar>
          </w:tcPr>
          <w:p w14:paraId="74E0DA35" w14:textId="5CDB8AB6" w:rsidR="0095695C" w:rsidRPr="006E2616" w:rsidRDefault="0095695C" w:rsidP="00BF2EC8">
            <w:pPr>
              <w:jc w:val="center"/>
              <w:rPr>
                <w:rFonts w:cs="Times New Roman"/>
              </w:rPr>
            </w:pPr>
            <w:r>
              <w:rPr>
                <w:rFonts w:cs="Times New Roman"/>
              </w:rPr>
              <w:t>12</w:t>
            </w:r>
            <w:r w:rsidRPr="006E2616">
              <w:rPr>
                <w:rFonts w:cs="Times New Roman"/>
              </w:rPr>
              <w:t>%</w:t>
            </w:r>
          </w:p>
        </w:tc>
        <w:tc>
          <w:tcPr>
            <w:tcW w:w="0" w:type="auto"/>
            <w:tcBorders>
              <w:top w:val="single" w:sz="6" w:space="0" w:color="auto"/>
              <w:bottom w:val="single" w:sz="8" w:space="0" w:color="auto"/>
              <w:right w:val="single" w:sz="8" w:space="0" w:color="auto"/>
            </w:tcBorders>
            <w:tcMar>
              <w:top w:w="43" w:type="dxa"/>
              <w:left w:w="115" w:type="dxa"/>
              <w:bottom w:w="43" w:type="dxa"/>
              <w:right w:w="115" w:type="dxa"/>
            </w:tcMar>
          </w:tcPr>
          <w:p w14:paraId="712016CA" w14:textId="617A9BD8" w:rsidR="0095695C" w:rsidRPr="006E2616" w:rsidRDefault="0095695C" w:rsidP="00BF2EC8">
            <w:pPr>
              <w:jc w:val="center"/>
              <w:rPr>
                <w:rFonts w:cs="Times New Roman"/>
              </w:rPr>
            </w:pPr>
            <w:r>
              <w:rPr>
                <w:rFonts w:cs="Times New Roman"/>
              </w:rPr>
              <w:t>6</w:t>
            </w:r>
            <w:r w:rsidRPr="006E2616">
              <w:rPr>
                <w:rFonts w:cs="Times New Roman"/>
              </w:rPr>
              <w:t>%</w:t>
            </w:r>
          </w:p>
        </w:tc>
      </w:tr>
    </w:tbl>
    <w:p w14:paraId="53129D08" w14:textId="77777777" w:rsidR="0095695C" w:rsidRPr="006E2616" w:rsidRDefault="0095695C" w:rsidP="0095695C">
      <w:pPr>
        <w:rPr>
          <w:rFonts w:cs="Times New Roman"/>
        </w:rPr>
      </w:pPr>
    </w:p>
    <w:p w14:paraId="0C1F1659" w14:textId="77777777" w:rsidR="0095695C" w:rsidRPr="006E2616" w:rsidRDefault="0095695C" w:rsidP="0095695C">
      <w:pPr>
        <w:pStyle w:val="ListParagraph"/>
        <w:numPr>
          <w:ilvl w:val="0"/>
          <w:numId w:val="0"/>
        </w:numPr>
        <w:spacing w:after="120"/>
        <w:ind w:left="360"/>
        <w:contextualSpacing w:val="0"/>
      </w:pPr>
      <w:r w:rsidRPr="006E2616">
        <w:t>Considering a difference-in-differences method, what do the data in the table above suggest about the decrease in unemployment in Freedonia between 2023 and 2024?</w:t>
      </w:r>
    </w:p>
    <w:p w14:paraId="1FA91107" w14:textId="77777777" w:rsidR="0095695C" w:rsidRPr="006E2616" w:rsidRDefault="0095695C" w:rsidP="00D65720">
      <w:pPr>
        <w:pStyle w:val="ListParagraph"/>
        <w:numPr>
          <w:ilvl w:val="0"/>
          <w:numId w:val="10"/>
        </w:numPr>
        <w:spacing w:after="120"/>
        <w:ind w:left="720"/>
        <w:contextualSpacing w:val="0"/>
      </w:pPr>
      <w:r w:rsidRPr="006E2616">
        <w:t>The Unemployment Reduction Act was plausibly the reason for the decrease in unemployment in Freedonia between 2023 and 2024.</w:t>
      </w:r>
    </w:p>
    <w:p w14:paraId="33FEF1F7" w14:textId="77777777" w:rsidR="0095695C" w:rsidRPr="006E2616" w:rsidRDefault="0095695C" w:rsidP="00D65720">
      <w:pPr>
        <w:pStyle w:val="ListParagraph"/>
        <w:numPr>
          <w:ilvl w:val="0"/>
          <w:numId w:val="10"/>
        </w:numPr>
        <w:ind w:left="720"/>
      </w:pPr>
      <w:r w:rsidRPr="006E2616">
        <w:t>The Unemployment Reduction Act was probably not the reason for the decrease in unemployment in Freedonia between 2023 and 2024.</w:t>
      </w:r>
    </w:p>
    <w:p w14:paraId="29006914" w14:textId="4C4F2B1C" w:rsidR="000C0C31" w:rsidRPr="006E2616" w:rsidRDefault="000C0C31" w:rsidP="00D40724">
      <w:pPr>
        <w:pStyle w:val="ListParagraph"/>
        <w:rPr>
          <w:sz w:val="32"/>
          <w:szCs w:val="32"/>
        </w:rPr>
      </w:pPr>
      <w:r w:rsidRPr="006E2616">
        <w:rPr>
          <w:rFonts w:cs="Times New Roman"/>
        </w:rPr>
        <w:lastRenderedPageBreak/>
        <w:t xml:space="preserve">The image and output </w:t>
      </w:r>
      <w:r w:rsidR="00A72EEC" w:rsidRPr="006E2616">
        <w:rPr>
          <w:rFonts w:cs="Times New Roman"/>
        </w:rPr>
        <w:t xml:space="preserve">below </w:t>
      </w:r>
      <w:r w:rsidRPr="006E2616">
        <w:rPr>
          <w:rFonts w:cs="Times New Roman"/>
        </w:rPr>
        <w:t>are from a linear regression on data from the ANES 2020 Time Series Study that used a participant's age group (in a variable called AGEGRP, measured in three levels, of "Age 18 to 39", "Age 40 to 65", and "Age 66 to 80", with the first category as the omitted category) to predict the participant's rating about the Federal Bureau of Investigation (in a variable called FTFBI) on a 0-to-100 scale.</w:t>
      </w:r>
    </w:p>
    <w:p w14:paraId="5BA2F6B5" w14:textId="77777777" w:rsidR="000C0C31" w:rsidRPr="006E2616" w:rsidRDefault="000C0C31" w:rsidP="000C0C31">
      <w:pPr>
        <w:pStyle w:val="ListParagraph"/>
        <w:numPr>
          <w:ilvl w:val="0"/>
          <w:numId w:val="0"/>
        </w:numPr>
        <w:ind w:left="360"/>
        <w:rPr>
          <w:sz w:val="32"/>
          <w:szCs w:val="32"/>
        </w:rPr>
      </w:pPr>
    </w:p>
    <w:p w14:paraId="0FCBFF3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reg FTFBI i.AGEGRP</w:t>
      </w:r>
    </w:p>
    <w:p w14:paraId="200B418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6ADE336E"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FTFBI | Coefficient     p-value    [95% conf. interval]</w:t>
      </w:r>
    </w:p>
    <w:p w14:paraId="6967FD2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55683E5A"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AGEGRP |</w:t>
      </w:r>
    </w:p>
    <w:p w14:paraId="1B2CD378"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Age 40 to 65  |       4.64       0.000         3.35        5.94</w:t>
      </w:r>
    </w:p>
    <w:p w14:paraId="21B97518"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Age 66 to 80  |       6.02       0.000         4.57        7.47</w:t>
      </w:r>
    </w:p>
    <w:p w14:paraId="62CDCCAB"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0C31A9BF"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_cons |      59.80       0.000        58.79       60.80</w:t>
      </w:r>
    </w:p>
    <w:p w14:paraId="6849ADE5" w14:textId="77777777" w:rsidR="000C0C31" w:rsidRPr="006E2616" w:rsidRDefault="000C0C31" w:rsidP="000C0C31">
      <w:pPr>
        <w:rPr>
          <w:rFonts w:ascii="Courier New" w:hAnsi="Courier New" w:cs="Courier New"/>
          <w:sz w:val="22"/>
          <w:szCs w:val="22"/>
        </w:rPr>
      </w:pPr>
      <w:r w:rsidRPr="006E2616">
        <w:rPr>
          <w:rFonts w:ascii="Courier New" w:hAnsi="Courier New" w:cs="Courier New"/>
          <w:sz w:val="22"/>
          <w:szCs w:val="22"/>
        </w:rPr>
        <w:t xml:space="preserve">   ----------------------------------------------------------------</w:t>
      </w:r>
    </w:p>
    <w:p w14:paraId="6DA11C28" w14:textId="77777777" w:rsidR="000C0C31" w:rsidRPr="006E2616" w:rsidRDefault="000C0C31" w:rsidP="000C0C31"/>
    <w:p w14:paraId="58C20EEF" w14:textId="77777777" w:rsidR="000C0C31" w:rsidRPr="006E2616" w:rsidRDefault="000C0C31" w:rsidP="00770015">
      <w:pPr>
        <w:pStyle w:val="ListParagraph"/>
        <w:numPr>
          <w:ilvl w:val="0"/>
          <w:numId w:val="0"/>
        </w:numPr>
        <w:ind w:left="360"/>
      </w:pPr>
      <w:r w:rsidRPr="006E2616">
        <w:t>What does the 6.02 coefficient estimate for "Age 66 to 80" indicate?</w:t>
      </w:r>
    </w:p>
    <w:p w14:paraId="27C3CFF3" w14:textId="77777777" w:rsidR="000C0C31" w:rsidRPr="006E2616" w:rsidRDefault="000C0C31" w:rsidP="00D65720">
      <w:pPr>
        <w:pStyle w:val="ListParagraph"/>
        <w:numPr>
          <w:ilvl w:val="0"/>
          <w:numId w:val="11"/>
        </w:numPr>
        <w:ind w:left="720"/>
      </w:pPr>
      <w:r w:rsidRPr="006E2616">
        <w:t>The mean rating about the FBI is predicted to be 6.02 among participants who are in the "Age 66 to 80" category.</w:t>
      </w:r>
    </w:p>
    <w:p w14:paraId="1E0D710D" w14:textId="4356D3D7" w:rsidR="000C0C31" w:rsidRPr="006E2616" w:rsidRDefault="000C0C31" w:rsidP="00D65720">
      <w:pPr>
        <w:pStyle w:val="ListParagraph"/>
        <w:numPr>
          <w:ilvl w:val="0"/>
          <w:numId w:val="11"/>
        </w:numPr>
        <w:ind w:left="720"/>
      </w:pPr>
      <w:r w:rsidRPr="006E2616">
        <w:t xml:space="preserve">The mean rating about the FBI is predicted to be 6.02 higher among participants who are in the "Age 66 to 80" category, compared to participants </w:t>
      </w:r>
      <w:r w:rsidR="004E182E" w:rsidRPr="006E2616">
        <w:t>at the</w:t>
      </w:r>
      <w:r w:rsidRPr="006E2616">
        <w:t xml:space="preserve"> average age.</w:t>
      </w:r>
    </w:p>
    <w:p w14:paraId="04B6B60D" w14:textId="77777777" w:rsidR="000C0C31" w:rsidRPr="006E2616" w:rsidRDefault="000C0C31" w:rsidP="00D65720">
      <w:pPr>
        <w:pStyle w:val="ListParagraph"/>
        <w:numPr>
          <w:ilvl w:val="0"/>
          <w:numId w:val="11"/>
        </w:numPr>
        <w:ind w:left="720"/>
      </w:pPr>
      <w:r w:rsidRPr="006E2616">
        <w:t>The mean rating about the FBI is predicted to be 6.02 higher among participants who are in the "Age 66 to 80" category, compared to participants who are in the "Age 18 to 39" category.</w:t>
      </w:r>
    </w:p>
    <w:p w14:paraId="29CED2F1" w14:textId="77777777" w:rsidR="00E061AD" w:rsidRPr="006E2616" w:rsidRDefault="00E061AD" w:rsidP="00BA161F">
      <w:pPr>
        <w:rPr>
          <w:rFonts w:cs="Times New Roman"/>
        </w:rPr>
      </w:pPr>
    </w:p>
    <w:p w14:paraId="225822ED" w14:textId="076C0423" w:rsidR="004F47F7" w:rsidRDefault="0095695C" w:rsidP="004F47F7">
      <w:pPr>
        <w:ind w:left="360" w:hanging="360"/>
      </w:pPr>
      <w:r>
        <w:t>---</w:t>
      </w:r>
    </w:p>
    <w:p w14:paraId="2B7E7DFF" w14:textId="77777777" w:rsidR="0095695C" w:rsidRDefault="0095695C" w:rsidP="004F47F7">
      <w:pPr>
        <w:ind w:left="360" w:hanging="360"/>
      </w:pPr>
    </w:p>
    <w:p w14:paraId="1956881C" w14:textId="77777777" w:rsidR="0095695C" w:rsidRPr="006E2616" w:rsidRDefault="0095695C" w:rsidP="0095695C">
      <w:pPr>
        <w:pStyle w:val="ListParagraph"/>
        <w:ind w:left="360"/>
      </w:pPr>
      <w:r w:rsidRPr="006E2616">
        <w:t>How do control variables help improve causal inference in a correlational study?</w:t>
      </w:r>
    </w:p>
    <w:p w14:paraId="27B06A46" w14:textId="77777777" w:rsidR="0095695C" w:rsidRPr="006E2616" w:rsidRDefault="0095695C" w:rsidP="00D65720">
      <w:pPr>
        <w:pStyle w:val="ListParagraph"/>
        <w:numPr>
          <w:ilvl w:val="0"/>
          <w:numId w:val="13"/>
        </w:numPr>
        <w:ind w:left="720"/>
      </w:pPr>
      <w:r w:rsidRPr="006E2616">
        <w:t>reduce bias in measurements</w:t>
      </w:r>
    </w:p>
    <w:p w14:paraId="35E9B993" w14:textId="77777777" w:rsidR="0095695C" w:rsidRPr="006E2616" w:rsidRDefault="0095695C" w:rsidP="00D65720">
      <w:pPr>
        <w:pStyle w:val="ListParagraph"/>
        <w:numPr>
          <w:ilvl w:val="0"/>
          <w:numId w:val="13"/>
        </w:numPr>
        <w:ind w:left="720"/>
      </w:pPr>
      <w:r w:rsidRPr="006E2616">
        <w:t>randomly assign participants</w:t>
      </w:r>
    </w:p>
    <w:p w14:paraId="62811471" w14:textId="77777777" w:rsidR="0095695C" w:rsidRPr="006E2616" w:rsidRDefault="0095695C" w:rsidP="00D65720">
      <w:pPr>
        <w:pStyle w:val="ListParagraph"/>
        <w:numPr>
          <w:ilvl w:val="0"/>
          <w:numId w:val="13"/>
        </w:numPr>
        <w:ind w:left="720"/>
      </w:pPr>
      <w:r w:rsidRPr="006E2616">
        <w:t xml:space="preserve">remove sample bias </w:t>
      </w:r>
    </w:p>
    <w:p w14:paraId="0CFA1D4D" w14:textId="77777777" w:rsidR="0095695C" w:rsidRPr="006E2616" w:rsidRDefault="0095695C" w:rsidP="00D65720">
      <w:pPr>
        <w:pStyle w:val="ListParagraph"/>
        <w:numPr>
          <w:ilvl w:val="0"/>
          <w:numId w:val="13"/>
        </w:numPr>
        <w:ind w:left="720"/>
      </w:pPr>
      <w:r w:rsidRPr="006E2616">
        <w:t xml:space="preserve">help address alternate explanations </w:t>
      </w:r>
    </w:p>
    <w:p w14:paraId="1F29956F" w14:textId="77777777" w:rsidR="0095695C" w:rsidRPr="006E2616" w:rsidRDefault="0095695C" w:rsidP="004F47F7">
      <w:pPr>
        <w:ind w:left="360" w:hanging="360"/>
      </w:pPr>
    </w:p>
    <w:p w14:paraId="3D3DA409" w14:textId="77777777" w:rsidR="0095695C" w:rsidRDefault="0095695C" w:rsidP="0095695C">
      <w:pPr>
        <w:pStyle w:val="ListParagraph"/>
        <w:ind w:left="360"/>
        <w:sectPr w:rsidR="0095695C" w:rsidSect="00F97BD6">
          <w:type w:val="continuous"/>
          <w:pgSz w:w="12240" w:h="15840"/>
          <w:pgMar w:top="1440" w:right="1440" w:bottom="1440" w:left="1440" w:header="720" w:footer="720" w:gutter="0"/>
          <w:cols w:space="720"/>
          <w:docGrid w:linePitch="360"/>
        </w:sectPr>
      </w:pPr>
    </w:p>
    <w:p w14:paraId="2A409F5D" w14:textId="4E4C2EB7" w:rsidR="004F47F7" w:rsidRPr="006E2616" w:rsidRDefault="004F47F7" w:rsidP="0095695C">
      <w:pPr>
        <w:pStyle w:val="ListParagraph"/>
        <w:ind w:left="360"/>
      </w:pPr>
      <w:r w:rsidRPr="006E2616">
        <w:t xml:space="preserve">If we flipped a coin </w:t>
      </w:r>
      <w:r w:rsidR="0095695C">
        <w:t>20</w:t>
      </w:r>
      <w:r w:rsidRPr="006E2616">
        <w:t xml:space="preserve"> times and got </w:t>
      </w:r>
      <w:r w:rsidR="0095695C">
        <w:t>1</w:t>
      </w:r>
      <w:r w:rsidRPr="006E2616">
        <w:t>0 heads and 1</w:t>
      </w:r>
      <w:r w:rsidR="0095695C">
        <w:t>0</w:t>
      </w:r>
      <w:r w:rsidRPr="006E2616">
        <w:t xml:space="preserve"> tails, what would be the p-value for a test of the null hypothesis that the coin is fair?</w:t>
      </w:r>
    </w:p>
    <w:p w14:paraId="0C2E6E48" w14:textId="77777777" w:rsidR="004F47F7" w:rsidRPr="006E2616" w:rsidRDefault="004F47F7" w:rsidP="00D65720">
      <w:pPr>
        <w:pStyle w:val="ListParagraph"/>
        <w:numPr>
          <w:ilvl w:val="0"/>
          <w:numId w:val="12"/>
        </w:numPr>
        <w:ind w:left="720"/>
      </w:pPr>
      <w:r w:rsidRPr="006E2616">
        <w:t>0</w:t>
      </w:r>
    </w:p>
    <w:p w14:paraId="6C497C2C" w14:textId="77777777" w:rsidR="004F47F7" w:rsidRPr="006E2616" w:rsidRDefault="004F47F7" w:rsidP="00D65720">
      <w:pPr>
        <w:pStyle w:val="ListParagraph"/>
        <w:numPr>
          <w:ilvl w:val="0"/>
          <w:numId w:val="12"/>
        </w:numPr>
        <w:ind w:left="720"/>
      </w:pPr>
      <w:r w:rsidRPr="006E2616">
        <w:t>1</w:t>
      </w:r>
    </w:p>
    <w:p w14:paraId="5A2D90C7" w14:textId="77777777" w:rsidR="004F47F7" w:rsidRDefault="004F47F7" w:rsidP="00D65720">
      <w:pPr>
        <w:pStyle w:val="ListParagraph"/>
        <w:numPr>
          <w:ilvl w:val="0"/>
          <w:numId w:val="12"/>
        </w:numPr>
        <w:ind w:left="720"/>
      </w:pPr>
      <w:r w:rsidRPr="006E2616">
        <w:t xml:space="preserve">something between 0 and 1 </w:t>
      </w:r>
    </w:p>
    <w:p w14:paraId="22F39E7B" w14:textId="77777777" w:rsidR="0095695C" w:rsidRDefault="0095695C" w:rsidP="0095695C"/>
    <w:p w14:paraId="2C64472F" w14:textId="0CD492C7" w:rsidR="0095695C" w:rsidRPr="006E2616" w:rsidRDefault="0095695C" w:rsidP="0095695C">
      <w:pPr>
        <w:pStyle w:val="ListParagraph"/>
        <w:ind w:left="360"/>
      </w:pPr>
      <w:r w:rsidRPr="006E2616">
        <w:t xml:space="preserve">If we flipped a coin </w:t>
      </w:r>
      <w:r>
        <w:t>20</w:t>
      </w:r>
      <w:r w:rsidRPr="006E2616">
        <w:t xml:space="preserve"> times and got 0 heads and </w:t>
      </w:r>
      <w:r>
        <w:t>20</w:t>
      </w:r>
      <w:r w:rsidRPr="006E2616">
        <w:t xml:space="preserve"> tails, what would be the p-value for a test of the null hypothesis that the coin is fair?</w:t>
      </w:r>
    </w:p>
    <w:p w14:paraId="1E0B8FEC" w14:textId="77777777" w:rsidR="0095695C" w:rsidRPr="006E2616" w:rsidRDefault="0095695C" w:rsidP="00D65720">
      <w:pPr>
        <w:pStyle w:val="ListParagraph"/>
        <w:numPr>
          <w:ilvl w:val="0"/>
          <w:numId w:val="12"/>
        </w:numPr>
        <w:ind w:left="720"/>
      </w:pPr>
      <w:r w:rsidRPr="006E2616">
        <w:t>0</w:t>
      </w:r>
    </w:p>
    <w:p w14:paraId="3C9D0CE7" w14:textId="77777777" w:rsidR="0095695C" w:rsidRPr="006E2616" w:rsidRDefault="0095695C" w:rsidP="00D65720">
      <w:pPr>
        <w:pStyle w:val="ListParagraph"/>
        <w:numPr>
          <w:ilvl w:val="0"/>
          <w:numId w:val="12"/>
        </w:numPr>
        <w:ind w:left="720"/>
      </w:pPr>
      <w:r w:rsidRPr="006E2616">
        <w:t>1</w:t>
      </w:r>
    </w:p>
    <w:p w14:paraId="7004CE49" w14:textId="77777777" w:rsidR="0095695C" w:rsidRPr="006E2616" w:rsidRDefault="0095695C" w:rsidP="00D65720">
      <w:pPr>
        <w:pStyle w:val="ListParagraph"/>
        <w:numPr>
          <w:ilvl w:val="0"/>
          <w:numId w:val="12"/>
        </w:numPr>
        <w:ind w:left="720"/>
      </w:pPr>
      <w:r w:rsidRPr="006E2616">
        <w:t xml:space="preserve">something between 0 and 1 </w:t>
      </w:r>
    </w:p>
    <w:p w14:paraId="064F545E" w14:textId="77777777" w:rsidR="0095695C" w:rsidRDefault="0095695C" w:rsidP="0095695C"/>
    <w:p w14:paraId="3AECA23E" w14:textId="5D13299F" w:rsidR="0095695C" w:rsidRPr="006E2616" w:rsidRDefault="0095695C" w:rsidP="0095695C">
      <w:pPr>
        <w:pStyle w:val="ListParagraph"/>
        <w:ind w:left="360"/>
      </w:pPr>
      <w:r w:rsidRPr="006E2616">
        <w:t xml:space="preserve">If we flipped a coin </w:t>
      </w:r>
      <w:r>
        <w:t>20</w:t>
      </w:r>
      <w:r w:rsidRPr="006E2616">
        <w:t xml:space="preserve"> times and got </w:t>
      </w:r>
      <w:r>
        <w:t>16</w:t>
      </w:r>
      <w:r w:rsidRPr="006E2616">
        <w:t xml:space="preserve"> heads and </w:t>
      </w:r>
      <w:r>
        <w:t>4</w:t>
      </w:r>
      <w:r w:rsidRPr="006E2616">
        <w:t xml:space="preserve"> tails, what would be the p-value for a test of the null hypothesis that the coin is fair?</w:t>
      </w:r>
    </w:p>
    <w:p w14:paraId="2318E830" w14:textId="77777777" w:rsidR="0095695C" w:rsidRPr="006E2616" w:rsidRDefault="0095695C" w:rsidP="00D65720">
      <w:pPr>
        <w:pStyle w:val="ListParagraph"/>
        <w:numPr>
          <w:ilvl w:val="0"/>
          <w:numId w:val="12"/>
        </w:numPr>
        <w:ind w:left="720"/>
      </w:pPr>
      <w:r w:rsidRPr="006E2616">
        <w:t>0</w:t>
      </w:r>
    </w:p>
    <w:p w14:paraId="0D902DBE" w14:textId="77777777" w:rsidR="0095695C" w:rsidRPr="006E2616" w:rsidRDefault="0095695C" w:rsidP="00D65720">
      <w:pPr>
        <w:pStyle w:val="ListParagraph"/>
        <w:numPr>
          <w:ilvl w:val="0"/>
          <w:numId w:val="12"/>
        </w:numPr>
        <w:ind w:left="720"/>
      </w:pPr>
      <w:r w:rsidRPr="006E2616">
        <w:t>1</w:t>
      </w:r>
    </w:p>
    <w:p w14:paraId="6F377D41" w14:textId="77777777" w:rsidR="0095695C" w:rsidRPr="006E2616" w:rsidRDefault="0095695C" w:rsidP="00D65720">
      <w:pPr>
        <w:pStyle w:val="ListParagraph"/>
        <w:numPr>
          <w:ilvl w:val="0"/>
          <w:numId w:val="12"/>
        </w:numPr>
        <w:ind w:left="720"/>
      </w:pPr>
      <w:r w:rsidRPr="006E2616">
        <w:t xml:space="preserve">something between 0 and 1 </w:t>
      </w:r>
    </w:p>
    <w:p w14:paraId="00CABEF2" w14:textId="77777777" w:rsidR="0095695C" w:rsidRDefault="0095695C" w:rsidP="0095695C">
      <w:pPr>
        <w:sectPr w:rsidR="0095695C" w:rsidSect="0095695C">
          <w:type w:val="continuous"/>
          <w:pgSz w:w="12240" w:h="15840"/>
          <w:pgMar w:top="1440" w:right="1440" w:bottom="1440" w:left="1440" w:header="720" w:footer="720" w:gutter="0"/>
          <w:cols w:num="3" w:space="720"/>
          <w:docGrid w:linePitch="360"/>
        </w:sectPr>
      </w:pPr>
    </w:p>
    <w:p w14:paraId="1E5F10F8" w14:textId="0D83E0B2" w:rsidR="004F47F7" w:rsidRDefault="004F47F7" w:rsidP="004F47F7">
      <w:pPr>
        <w:rPr>
          <w:rFonts w:cs="Times New Roman"/>
        </w:rPr>
      </w:pPr>
    </w:p>
    <w:p w14:paraId="4FD3E98F" w14:textId="77777777" w:rsidR="003D764C" w:rsidRPr="006E2616" w:rsidRDefault="003D764C" w:rsidP="003D764C">
      <w:pPr>
        <w:pStyle w:val="Heading2"/>
      </w:pPr>
      <w:r w:rsidRPr="006E2616">
        <w:lastRenderedPageBreak/>
        <w:t>POL 138 Quantitative Reasoning in Political Science</w:t>
      </w:r>
    </w:p>
    <w:p w14:paraId="0FB3F93B" w14:textId="683CAB62" w:rsidR="003D764C" w:rsidRPr="006E2616" w:rsidRDefault="003D764C" w:rsidP="003D764C">
      <w:pPr>
        <w:pStyle w:val="Heading2"/>
      </w:pPr>
      <w:r w:rsidRPr="006E2616">
        <w:t xml:space="preserve">Practice for the Final Exam </w:t>
      </w:r>
      <w:r>
        <w:t>3</w:t>
      </w:r>
    </w:p>
    <w:p w14:paraId="066CFD97" w14:textId="77777777" w:rsidR="003D764C" w:rsidRDefault="003D764C" w:rsidP="003D764C"/>
    <w:p w14:paraId="43E06C3F" w14:textId="6A9BBFA3" w:rsidR="003D764C" w:rsidRPr="00B121A0" w:rsidRDefault="00090FAB" w:rsidP="00B121A0">
      <w:pPr>
        <w:pStyle w:val="ListParagraph"/>
        <w:ind w:left="360"/>
      </w:pPr>
      <w:r w:rsidRPr="00B121A0">
        <w:t>Employees at a business can vote to form an employee union in that collectively bargains with the employer. Suppose that we wanted to test whether employees forming a union affects the chance that the employees' employer goes out of business. Researcher A plans to compare the percentage of unionized business that have gone out of business to the percentage of non-unionized business that have gone out of business. Researcher B plans to make the same comparison but to limit the analysis to employers in which the employee vote to unionize was decided by less than 1 percent of the vote. Explain a benefit of Researcher B's plan.</w:t>
      </w:r>
    </w:p>
    <w:p w14:paraId="51F9AEBC" w14:textId="77777777" w:rsidR="00CD1189" w:rsidRDefault="00CD1189" w:rsidP="00CD1189">
      <w:pPr>
        <w:pStyle w:val="ListParagraph"/>
        <w:numPr>
          <w:ilvl w:val="0"/>
          <w:numId w:val="0"/>
        </w:numPr>
        <w:ind w:left="360"/>
      </w:pPr>
    </w:p>
    <w:p w14:paraId="17F1D322" w14:textId="77777777" w:rsidR="00CD1189" w:rsidRDefault="00CD1189" w:rsidP="00CD1189">
      <w:pPr>
        <w:pStyle w:val="ListParagraph"/>
        <w:numPr>
          <w:ilvl w:val="0"/>
          <w:numId w:val="0"/>
        </w:numPr>
        <w:ind w:left="360"/>
      </w:pPr>
    </w:p>
    <w:p w14:paraId="5B9290D6" w14:textId="77777777" w:rsidR="00CD1189" w:rsidRDefault="00CD1189" w:rsidP="00CD1189">
      <w:pPr>
        <w:pStyle w:val="ListParagraph"/>
        <w:numPr>
          <w:ilvl w:val="0"/>
          <w:numId w:val="0"/>
        </w:numPr>
        <w:ind w:left="360"/>
      </w:pPr>
    </w:p>
    <w:p w14:paraId="311E04C4" w14:textId="77777777" w:rsidR="00CD1189" w:rsidRDefault="00CD1189" w:rsidP="00CD1189">
      <w:pPr>
        <w:pStyle w:val="ListParagraph"/>
        <w:numPr>
          <w:ilvl w:val="0"/>
          <w:numId w:val="0"/>
        </w:numPr>
        <w:ind w:left="360"/>
      </w:pPr>
    </w:p>
    <w:p w14:paraId="7177A6A7" w14:textId="77777777" w:rsidR="00CD1189" w:rsidRDefault="00CD1189" w:rsidP="00CD1189">
      <w:pPr>
        <w:pStyle w:val="ListParagraph"/>
        <w:numPr>
          <w:ilvl w:val="0"/>
          <w:numId w:val="0"/>
        </w:numPr>
        <w:ind w:left="360"/>
      </w:pPr>
    </w:p>
    <w:p w14:paraId="5F11F26B" w14:textId="77777777" w:rsidR="00CD1189" w:rsidRDefault="00CD1189" w:rsidP="00CD1189">
      <w:pPr>
        <w:pStyle w:val="ListParagraph"/>
        <w:numPr>
          <w:ilvl w:val="0"/>
          <w:numId w:val="0"/>
        </w:numPr>
        <w:ind w:left="360"/>
      </w:pPr>
    </w:p>
    <w:p w14:paraId="335D37FC" w14:textId="77777777" w:rsidR="00CD1189" w:rsidRDefault="00CD1189" w:rsidP="00CD1189">
      <w:pPr>
        <w:pStyle w:val="ListParagraph"/>
        <w:numPr>
          <w:ilvl w:val="0"/>
          <w:numId w:val="0"/>
        </w:numPr>
        <w:ind w:left="360"/>
      </w:pPr>
    </w:p>
    <w:p w14:paraId="2DF9C6C0" w14:textId="77777777" w:rsidR="00CD1189" w:rsidRDefault="00CD1189" w:rsidP="00CD1189">
      <w:pPr>
        <w:pStyle w:val="ListParagraph"/>
        <w:numPr>
          <w:ilvl w:val="0"/>
          <w:numId w:val="0"/>
        </w:numPr>
        <w:ind w:left="360"/>
      </w:pPr>
    </w:p>
    <w:p w14:paraId="608E5261" w14:textId="77777777" w:rsidR="00CD1189" w:rsidRDefault="00CD1189" w:rsidP="00CD1189">
      <w:pPr>
        <w:pStyle w:val="ListParagraph"/>
        <w:numPr>
          <w:ilvl w:val="0"/>
          <w:numId w:val="0"/>
        </w:numPr>
        <w:ind w:left="360"/>
      </w:pPr>
    </w:p>
    <w:p w14:paraId="18E85CCE" w14:textId="77777777" w:rsidR="00CD1189" w:rsidRDefault="00CD1189" w:rsidP="00CD1189">
      <w:pPr>
        <w:pStyle w:val="ListParagraph"/>
        <w:numPr>
          <w:ilvl w:val="0"/>
          <w:numId w:val="0"/>
        </w:numPr>
        <w:ind w:left="360"/>
      </w:pPr>
    </w:p>
    <w:p w14:paraId="056FBDE9" w14:textId="18E22855" w:rsidR="00CD1189" w:rsidRPr="00B121A0" w:rsidRDefault="00CD1189" w:rsidP="00B121A0">
      <w:pPr>
        <w:pStyle w:val="ListParagraph"/>
        <w:ind w:left="360"/>
      </w:pPr>
      <w:r w:rsidRPr="00B121A0">
        <w:t>Suppose that, for the above item, Researcher B's analysis did not detect sufficient evidence to reject the null hypothesis that employees forming a union does not affect the chance that the employees' employer goes out of business. The 95% confidence interval from Researcher B's analysis is that employees forming a union has a [-50%, +50%] effect on the chance that the employees' employer goes out of business. This estimate is ___.</w:t>
      </w:r>
    </w:p>
    <w:p w14:paraId="7897F1C5" w14:textId="77777777" w:rsidR="00CD1189" w:rsidRDefault="00CD1189" w:rsidP="00CD1189">
      <w:pPr>
        <w:pStyle w:val="ListParagraph"/>
        <w:numPr>
          <w:ilvl w:val="0"/>
          <w:numId w:val="17"/>
        </w:numPr>
      </w:pPr>
      <w:r>
        <w:t>an informative null, because the 95% confidence interval contains a null effect of 0%</w:t>
      </w:r>
    </w:p>
    <w:p w14:paraId="001D6DC4" w14:textId="3629B1D4" w:rsidR="00CD1189" w:rsidRDefault="00CD1189" w:rsidP="00CD1189">
      <w:pPr>
        <w:pStyle w:val="ListParagraph"/>
        <w:numPr>
          <w:ilvl w:val="0"/>
          <w:numId w:val="17"/>
        </w:numPr>
      </w:pPr>
      <w:r>
        <w:t>an informative null, because the 95% confidence interval does not contain 100%</w:t>
      </w:r>
    </w:p>
    <w:p w14:paraId="618CD14D" w14:textId="77777777" w:rsidR="00CD1189" w:rsidRDefault="00CD1189" w:rsidP="00CD1189">
      <w:pPr>
        <w:pStyle w:val="ListParagraph"/>
        <w:numPr>
          <w:ilvl w:val="0"/>
          <w:numId w:val="17"/>
        </w:numPr>
      </w:pPr>
      <w:r>
        <w:t>an uninformative null, because the 95% confidence interval contains 0%</w:t>
      </w:r>
    </w:p>
    <w:p w14:paraId="078B429A" w14:textId="14228619" w:rsidR="00CD1189" w:rsidRDefault="00CD1189" w:rsidP="00CD1189">
      <w:pPr>
        <w:pStyle w:val="ListParagraph"/>
        <w:numPr>
          <w:ilvl w:val="0"/>
          <w:numId w:val="17"/>
        </w:numPr>
      </w:pPr>
      <w:r>
        <w:t>an uninformative null, because the 95% confidence interval contains large estimates in both directions</w:t>
      </w:r>
    </w:p>
    <w:p w14:paraId="6BF835B2" w14:textId="77777777" w:rsidR="00CD1189" w:rsidRDefault="00CD1189" w:rsidP="00774ED1">
      <w:pPr>
        <w:pStyle w:val="ListParagraph"/>
        <w:numPr>
          <w:ilvl w:val="0"/>
          <w:numId w:val="0"/>
        </w:numPr>
        <w:ind w:left="720"/>
      </w:pPr>
    </w:p>
    <w:p w14:paraId="3DAF9E6F" w14:textId="22EBD948" w:rsidR="001C21B5" w:rsidRPr="00B121A0" w:rsidRDefault="001C21B5" w:rsidP="00B121A0">
      <w:pPr>
        <w:pStyle w:val="ListParagraph"/>
        <w:ind w:left="360"/>
      </w:pPr>
      <w:r w:rsidRPr="00B121A0">
        <w:t xml:space="preserve">The U.S. Bureau of Labor Statistics report </w:t>
      </w:r>
      <w:hyperlink r:id="rId10" w:history="1">
        <w:r w:rsidR="00725DB7" w:rsidRPr="00B121A0">
          <w:rPr>
            <w:rStyle w:val="Hyperlink"/>
            <w:rFonts w:cs="Times New Roman"/>
          </w:rPr>
          <w:t>USDL-25-0105</w:t>
        </w:r>
      </w:hyperlink>
      <w:r w:rsidRPr="00B121A0">
        <w:t xml:space="preserve"> indicated that the median weekly earnings was $1,337 for union workers and was $1,138 for nonunion workers, which is a $199 difference. Over the 52 weeks in a year, this accumulates to a $10,348 difference in earnings between union workers and nonunion workers. One reason for this difference might be because unions negotiate higher wages for union workers. But propose another potential reason why union workers might make more than nonunion workers.</w:t>
      </w:r>
    </w:p>
    <w:p w14:paraId="4AB219D9" w14:textId="77777777" w:rsidR="001C21B5" w:rsidRDefault="001C21B5" w:rsidP="001C21B5"/>
    <w:p w14:paraId="2F87495C" w14:textId="77777777" w:rsidR="001C21B5" w:rsidRDefault="001C21B5" w:rsidP="001C21B5"/>
    <w:p w14:paraId="01E6B992" w14:textId="77777777" w:rsidR="001C21B5" w:rsidRDefault="001C21B5" w:rsidP="001C21B5"/>
    <w:p w14:paraId="71A45E4F" w14:textId="77777777" w:rsidR="001C21B5" w:rsidRDefault="001C21B5" w:rsidP="001C21B5"/>
    <w:p w14:paraId="57E2A5DC" w14:textId="77777777" w:rsidR="001C21B5" w:rsidRDefault="001C21B5" w:rsidP="001C21B5"/>
    <w:p w14:paraId="39291289" w14:textId="77777777" w:rsidR="001C21B5" w:rsidRDefault="001C21B5" w:rsidP="001C21B5"/>
    <w:p w14:paraId="0C86ED99" w14:textId="77777777" w:rsidR="001C21B5" w:rsidRDefault="001C21B5" w:rsidP="001C21B5"/>
    <w:p w14:paraId="0617AB67" w14:textId="77777777" w:rsidR="001C21B5" w:rsidRDefault="001C21B5" w:rsidP="001C21B5"/>
    <w:p w14:paraId="74372899" w14:textId="77777777" w:rsidR="00CD1189" w:rsidRDefault="00CD1189" w:rsidP="001C21B5">
      <w:pPr>
        <w:pStyle w:val="ListParagraph"/>
        <w:numPr>
          <w:ilvl w:val="0"/>
          <w:numId w:val="14"/>
        </w:numPr>
        <w:ind w:left="360"/>
        <w:sectPr w:rsidR="00CD1189" w:rsidSect="00F97BD6">
          <w:type w:val="continuous"/>
          <w:pgSz w:w="12240" w:h="15840"/>
          <w:pgMar w:top="1440" w:right="1440" w:bottom="1440" w:left="1440" w:header="720" w:footer="720" w:gutter="0"/>
          <w:cols w:space="720"/>
          <w:docGrid w:linePitch="360"/>
        </w:sectPr>
      </w:pPr>
    </w:p>
    <w:p w14:paraId="3D1E2687" w14:textId="04A1BB1B" w:rsidR="001C21B5" w:rsidRPr="00B121A0" w:rsidRDefault="001C21B5" w:rsidP="00B121A0">
      <w:pPr>
        <w:pStyle w:val="ListParagraph"/>
        <w:ind w:left="360"/>
      </w:pPr>
      <w:r w:rsidRPr="00B121A0">
        <w:lastRenderedPageBreak/>
        <w:t xml:space="preserve">The U.S. Bureau of Labor Statistics report </w:t>
      </w:r>
      <w:hyperlink r:id="rId11" w:history="1">
        <w:r w:rsidRPr="00B121A0">
          <w:rPr>
            <w:rStyle w:val="Hyperlink"/>
            <w:color w:val="auto"/>
            <w:u w:val="none"/>
          </w:rPr>
          <w:t>USDL-25-0105</w:t>
        </w:r>
      </w:hyperlink>
      <w:r w:rsidRPr="00B121A0">
        <w:t xml:space="preserve"> indicated that:</w:t>
      </w:r>
    </w:p>
    <w:p w14:paraId="465E7EAA" w14:textId="77777777" w:rsidR="001C21B5" w:rsidRPr="00CD1189" w:rsidRDefault="001C21B5" w:rsidP="001C21B5">
      <w:pPr>
        <w:pStyle w:val="ListParagraph"/>
        <w:numPr>
          <w:ilvl w:val="0"/>
          <w:numId w:val="0"/>
        </w:numPr>
        <w:ind w:left="360"/>
      </w:pPr>
    </w:p>
    <w:p w14:paraId="74713B70" w14:textId="5A1F3D4F" w:rsidR="001C21B5" w:rsidRPr="00CD1189" w:rsidRDefault="001C21B5" w:rsidP="001C21B5">
      <w:pPr>
        <w:pStyle w:val="ListParagraph"/>
        <w:numPr>
          <w:ilvl w:val="0"/>
          <w:numId w:val="0"/>
        </w:numPr>
        <w:ind w:left="720"/>
        <w:rPr>
          <w:rFonts w:cs="Times New Roman"/>
        </w:rPr>
      </w:pPr>
      <w:r w:rsidRPr="00CD1189">
        <w:rPr>
          <w:rFonts w:cs="Times New Roman"/>
        </w:rPr>
        <w:t xml:space="preserve">By age, workers ages 45 to 54 had the highest union membership rate in 2024, at 12.6 percent. Younger workers--those ages 16 to 24--had the lowest union membership rate, at 4.3 </w:t>
      </w:r>
    </w:p>
    <w:p w14:paraId="66EE2833" w14:textId="77777777" w:rsidR="001C21B5" w:rsidRPr="00CD1189" w:rsidRDefault="001C21B5" w:rsidP="001C21B5">
      <w:pPr>
        <w:ind w:left="720" w:hanging="360"/>
        <w:rPr>
          <w:rFonts w:cs="Times New Roman"/>
        </w:rPr>
      </w:pPr>
    </w:p>
    <w:p w14:paraId="2929F820" w14:textId="60ABE236" w:rsidR="001C21B5" w:rsidRPr="00CD1189" w:rsidRDefault="001C21B5" w:rsidP="001C21B5">
      <w:pPr>
        <w:pStyle w:val="ListParagraph"/>
        <w:numPr>
          <w:ilvl w:val="0"/>
          <w:numId w:val="0"/>
        </w:numPr>
        <w:ind w:left="360"/>
        <w:rPr>
          <w:rFonts w:cs="Times New Roman"/>
        </w:rPr>
      </w:pPr>
      <w:r w:rsidRPr="00CD1189">
        <w:rPr>
          <w:rFonts w:cs="Times New Roman"/>
        </w:rPr>
        <w:t>Controlling only for age of the worker would plausibly make the union/nonunion gap ___.</w:t>
      </w:r>
    </w:p>
    <w:p w14:paraId="79CBF006" w14:textId="1BB2AE15" w:rsidR="001C21B5" w:rsidRPr="00CD1189" w:rsidRDefault="001C21B5" w:rsidP="001C21B5">
      <w:pPr>
        <w:pStyle w:val="ListParagraph"/>
        <w:numPr>
          <w:ilvl w:val="0"/>
          <w:numId w:val="16"/>
        </w:numPr>
        <w:rPr>
          <w:rFonts w:cs="Times New Roman"/>
        </w:rPr>
      </w:pPr>
      <w:r w:rsidRPr="00CD1189">
        <w:rPr>
          <w:rFonts w:cs="Times New Roman"/>
        </w:rPr>
        <w:t>less than $199 per week</w:t>
      </w:r>
    </w:p>
    <w:p w14:paraId="480276E0" w14:textId="56473C14" w:rsidR="001C21B5" w:rsidRPr="00CD1189" w:rsidRDefault="001C21B5" w:rsidP="001C21B5">
      <w:pPr>
        <w:pStyle w:val="ListParagraph"/>
        <w:numPr>
          <w:ilvl w:val="0"/>
          <w:numId w:val="16"/>
        </w:numPr>
        <w:rPr>
          <w:rFonts w:cs="Times New Roman"/>
        </w:rPr>
      </w:pPr>
      <w:r w:rsidRPr="00CD1189">
        <w:rPr>
          <w:rFonts w:cs="Times New Roman"/>
        </w:rPr>
        <w:t>$199 per week</w:t>
      </w:r>
    </w:p>
    <w:p w14:paraId="66A4078D" w14:textId="0CB2565B" w:rsidR="001C21B5" w:rsidRPr="00CD1189" w:rsidRDefault="001C21B5" w:rsidP="001C21B5">
      <w:pPr>
        <w:pStyle w:val="ListParagraph"/>
        <w:numPr>
          <w:ilvl w:val="0"/>
          <w:numId w:val="16"/>
        </w:numPr>
        <w:rPr>
          <w:rFonts w:cs="Times New Roman"/>
        </w:rPr>
      </w:pPr>
      <w:r w:rsidRPr="00CD1189">
        <w:rPr>
          <w:rFonts w:cs="Times New Roman"/>
        </w:rPr>
        <w:t>more than $199 per week</w:t>
      </w:r>
    </w:p>
    <w:p w14:paraId="011C672D" w14:textId="77777777" w:rsidR="00CD1189" w:rsidRPr="00CD1189" w:rsidRDefault="00CD1189" w:rsidP="00CD1189">
      <w:pPr>
        <w:rPr>
          <w:rFonts w:cs="Times New Roman"/>
        </w:rPr>
      </w:pPr>
    </w:p>
    <w:p w14:paraId="39AED050" w14:textId="77777777" w:rsidR="00CD1189" w:rsidRPr="00B121A0" w:rsidRDefault="00CD1189" w:rsidP="00B121A0">
      <w:pPr>
        <w:pStyle w:val="ListParagraph"/>
        <w:ind w:left="360"/>
      </w:pPr>
      <w:r w:rsidRPr="00B121A0">
        <w:t xml:space="preserve">The U.S. Bureau of Labor Statistics report </w:t>
      </w:r>
      <w:hyperlink r:id="rId12" w:history="1">
        <w:r w:rsidRPr="00B121A0">
          <w:rPr>
            <w:rStyle w:val="Hyperlink"/>
            <w:color w:val="auto"/>
            <w:u w:val="none"/>
          </w:rPr>
          <w:t>USDL-25-0105</w:t>
        </w:r>
      </w:hyperlink>
      <w:r w:rsidRPr="00B121A0">
        <w:t xml:space="preserve"> indicated that:</w:t>
      </w:r>
    </w:p>
    <w:p w14:paraId="027A51ED" w14:textId="77777777" w:rsidR="00CD1189" w:rsidRPr="00CD1189" w:rsidRDefault="00CD1189" w:rsidP="00CD1189">
      <w:pPr>
        <w:pStyle w:val="ListParagraph"/>
        <w:numPr>
          <w:ilvl w:val="0"/>
          <w:numId w:val="0"/>
        </w:numPr>
        <w:ind w:left="360"/>
        <w:rPr>
          <w:rFonts w:cs="Times New Roman"/>
        </w:rPr>
      </w:pPr>
    </w:p>
    <w:p w14:paraId="53F4DE13" w14:textId="65AA6F7B" w:rsidR="00CD1189" w:rsidRDefault="00CD1189" w:rsidP="00725DB7">
      <w:pPr>
        <w:ind w:left="720"/>
        <w:rPr>
          <w:rFonts w:eastAsiaTheme="minorEastAsia" w:cs="Times New Roman"/>
          <w:bCs w:val="0"/>
          <w:lang w:eastAsia="zh-CN"/>
        </w:rPr>
      </w:pPr>
      <w:r w:rsidRPr="00CD1189">
        <w:rPr>
          <w:rFonts w:eastAsiaTheme="minorEastAsia" w:cs="Times New Roman"/>
          <w:bCs w:val="0"/>
          <w:lang w:eastAsia="zh-CN"/>
        </w:rPr>
        <w:t xml:space="preserve">Men continued to have a higher union membership rate (10.2 percent) than women (9.5 percent). </w:t>
      </w:r>
    </w:p>
    <w:p w14:paraId="135CCEAC" w14:textId="77777777" w:rsidR="00CD1189" w:rsidRPr="00CD1189" w:rsidRDefault="00CD1189" w:rsidP="00CD1189">
      <w:pPr>
        <w:ind w:left="720"/>
        <w:rPr>
          <w:rFonts w:cs="Times New Roman"/>
        </w:rPr>
      </w:pPr>
    </w:p>
    <w:p w14:paraId="73F85D9C" w14:textId="22F48FBA" w:rsidR="00CD1189" w:rsidRPr="00CD1189" w:rsidRDefault="00CD1189" w:rsidP="00CD1189">
      <w:pPr>
        <w:pStyle w:val="ListParagraph"/>
        <w:numPr>
          <w:ilvl w:val="0"/>
          <w:numId w:val="0"/>
        </w:numPr>
        <w:ind w:left="360"/>
        <w:rPr>
          <w:rFonts w:cs="Times New Roman"/>
        </w:rPr>
      </w:pPr>
      <w:r w:rsidRPr="00CD1189">
        <w:rPr>
          <w:rFonts w:cs="Times New Roman"/>
        </w:rPr>
        <w:t xml:space="preserve">Controlling only for the </w:t>
      </w:r>
      <w:r w:rsidR="00725DB7">
        <w:rPr>
          <w:rFonts w:cs="Times New Roman"/>
        </w:rPr>
        <w:t>gender</w:t>
      </w:r>
      <w:r w:rsidRPr="00CD1189">
        <w:rPr>
          <w:rFonts w:cs="Times New Roman"/>
        </w:rPr>
        <w:t xml:space="preserve"> of a worker would plausibly make the union/nonunion gap ___.</w:t>
      </w:r>
    </w:p>
    <w:p w14:paraId="1A2C1A4B" w14:textId="77777777" w:rsidR="00CD1189" w:rsidRPr="00CD1189" w:rsidRDefault="00CD1189" w:rsidP="00CD1189">
      <w:pPr>
        <w:pStyle w:val="ListParagraph"/>
        <w:numPr>
          <w:ilvl w:val="0"/>
          <w:numId w:val="16"/>
        </w:numPr>
        <w:rPr>
          <w:rFonts w:cs="Times New Roman"/>
        </w:rPr>
      </w:pPr>
      <w:r w:rsidRPr="00CD1189">
        <w:rPr>
          <w:rFonts w:cs="Times New Roman"/>
        </w:rPr>
        <w:t>less than $199 per week</w:t>
      </w:r>
    </w:p>
    <w:p w14:paraId="28F96306" w14:textId="77777777" w:rsidR="00CD1189" w:rsidRPr="00CD1189" w:rsidRDefault="00CD1189" w:rsidP="00CD1189">
      <w:pPr>
        <w:pStyle w:val="ListParagraph"/>
        <w:numPr>
          <w:ilvl w:val="0"/>
          <w:numId w:val="16"/>
        </w:numPr>
        <w:rPr>
          <w:rFonts w:cs="Times New Roman"/>
        </w:rPr>
      </w:pPr>
      <w:r w:rsidRPr="00CD1189">
        <w:rPr>
          <w:rFonts w:cs="Times New Roman"/>
        </w:rPr>
        <w:t>$199 per week</w:t>
      </w:r>
    </w:p>
    <w:p w14:paraId="0258A45E" w14:textId="77777777" w:rsidR="00CD1189" w:rsidRPr="00CD1189" w:rsidRDefault="00CD1189" w:rsidP="00CD1189">
      <w:pPr>
        <w:pStyle w:val="ListParagraph"/>
        <w:numPr>
          <w:ilvl w:val="0"/>
          <w:numId w:val="16"/>
        </w:numPr>
        <w:rPr>
          <w:rFonts w:cs="Times New Roman"/>
        </w:rPr>
      </w:pPr>
      <w:r w:rsidRPr="00CD1189">
        <w:rPr>
          <w:rFonts w:cs="Times New Roman"/>
        </w:rPr>
        <w:t>more than $199 per week</w:t>
      </w:r>
    </w:p>
    <w:p w14:paraId="4CBB5DFC" w14:textId="77777777" w:rsidR="00CD1189" w:rsidRPr="00CD1189" w:rsidRDefault="00CD1189" w:rsidP="00CD1189">
      <w:pPr>
        <w:rPr>
          <w:rFonts w:cs="Times New Roman"/>
        </w:rPr>
      </w:pPr>
    </w:p>
    <w:p w14:paraId="41B71882" w14:textId="77777777" w:rsidR="00CD1189" w:rsidRPr="00B121A0" w:rsidRDefault="00CD1189" w:rsidP="00B121A0">
      <w:pPr>
        <w:pStyle w:val="ListParagraph"/>
        <w:ind w:left="360"/>
        <w:rPr>
          <w:rFonts w:cs="Times New Roman"/>
        </w:rPr>
      </w:pPr>
      <w:r w:rsidRPr="00B121A0">
        <w:t xml:space="preserve">The U.S. Bureau of Labor Statistics report </w:t>
      </w:r>
      <w:hyperlink r:id="rId13" w:history="1">
        <w:r w:rsidRPr="00B121A0">
          <w:t>USDL-25-0105</w:t>
        </w:r>
      </w:hyperlink>
      <w:r w:rsidRPr="00B121A0">
        <w:t xml:space="preserve"> indicated that</w:t>
      </w:r>
      <w:r w:rsidRPr="00B121A0">
        <w:rPr>
          <w:rFonts w:cs="Times New Roman"/>
        </w:rPr>
        <w:t>:</w:t>
      </w:r>
    </w:p>
    <w:p w14:paraId="28340234" w14:textId="77777777" w:rsidR="00CD1189" w:rsidRPr="00CD1189" w:rsidRDefault="00CD1189" w:rsidP="00CD1189">
      <w:pPr>
        <w:pStyle w:val="ListParagraph"/>
        <w:numPr>
          <w:ilvl w:val="0"/>
          <w:numId w:val="0"/>
        </w:numPr>
        <w:ind w:left="360"/>
        <w:rPr>
          <w:rFonts w:cs="Times New Roman"/>
        </w:rPr>
      </w:pPr>
    </w:p>
    <w:p w14:paraId="6E454999" w14:textId="77777777" w:rsidR="00CD1189" w:rsidRPr="00CD1189" w:rsidRDefault="00CD1189" w:rsidP="00CD1189">
      <w:pPr>
        <w:ind w:left="720"/>
        <w:rPr>
          <w:rFonts w:eastAsiaTheme="minorEastAsia" w:cs="Times New Roman"/>
          <w:bCs w:val="0"/>
          <w:lang w:eastAsia="zh-CN"/>
        </w:rPr>
      </w:pPr>
      <w:r w:rsidRPr="00CD1189">
        <w:rPr>
          <w:rFonts w:eastAsiaTheme="minorEastAsia" w:cs="Times New Roman"/>
          <w:bCs w:val="0"/>
          <w:lang w:eastAsia="zh-CN"/>
        </w:rPr>
        <w:t xml:space="preserve">Black workers remained more likely to be union members than White, Asian, and Hispanic workers. </w:t>
      </w:r>
    </w:p>
    <w:p w14:paraId="73256213" w14:textId="77777777" w:rsidR="00CD1189" w:rsidRPr="00CD1189" w:rsidRDefault="00CD1189" w:rsidP="00CD1189">
      <w:pPr>
        <w:pStyle w:val="ListParagraph"/>
        <w:numPr>
          <w:ilvl w:val="0"/>
          <w:numId w:val="0"/>
        </w:numPr>
        <w:ind w:left="360"/>
        <w:rPr>
          <w:rFonts w:cs="Times New Roman"/>
        </w:rPr>
      </w:pPr>
    </w:p>
    <w:p w14:paraId="7C305787" w14:textId="77777777" w:rsidR="00CD1189" w:rsidRPr="00CD1189" w:rsidRDefault="00CD1189" w:rsidP="00CD1189">
      <w:pPr>
        <w:pStyle w:val="ListParagraph"/>
        <w:numPr>
          <w:ilvl w:val="0"/>
          <w:numId w:val="0"/>
        </w:numPr>
        <w:ind w:left="360"/>
        <w:rPr>
          <w:rFonts w:cs="Times New Roman"/>
        </w:rPr>
      </w:pPr>
      <w:r w:rsidRPr="00CD1189">
        <w:rPr>
          <w:rFonts w:cs="Times New Roman"/>
        </w:rPr>
        <w:t>Controlling only for the race of a worker would plausibly make the union/nonunion gap ___.</w:t>
      </w:r>
    </w:p>
    <w:p w14:paraId="659AD425" w14:textId="77777777" w:rsidR="00CD1189" w:rsidRPr="00CD1189" w:rsidRDefault="00CD1189" w:rsidP="00CD1189">
      <w:pPr>
        <w:pStyle w:val="ListParagraph"/>
        <w:numPr>
          <w:ilvl w:val="0"/>
          <w:numId w:val="16"/>
        </w:numPr>
        <w:rPr>
          <w:rFonts w:cs="Times New Roman"/>
        </w:rPr>
      </w:pPr>
      <w:r w:rsidRPr="00CD1189">
        <w:rPr>
          <w:rFonts w:cs="Times New Roman"/>
        </w:rPr>
        <w:t>less than $199 per week</w:t>
      </w:r>
    </w:p>
    <w:p w14:paraId="7FC98440" w14:textId="77777777" w:rsidR="00CD1189" w:rsidRPr="00CD1189" w:rsidRDefault="00CD1189" w:rsidP="00CD1189">
      <w:pPr>
        <w:pStyle w:val="ListParagraph"/>
        <w:numPr>
          <w:ilvl w:val="0"/>
          <w:numId w:val="16"/>
        </w:numPr>
        <w:rPr>
          <w:rFonts w:cs="Times New Roman"/>
        </w:rPr>
      </w:pPr>
      <w:r w:rsidRPr="00CD1189">
        <w:rPr>
          <w:rFonts w:cs="Times New Roman"/>
        </w:rPr>
        <w:t>$199 per week</w:t>
      </w:r>
    </w:p>
    <w:p w14:paraId="70E39245" w14:textId="77777777" w:rsidR="00CD1189" w:rsidRDefault="00CD1189" w:rsidP="00CD1189">
      <w:pPr>
        <w:pStyle w:val="ListParagraph"/>
        <w:numPr>
          <w:ilvl w:val="0"/>
          <w:numId w:val="16"/>
        </w:numPr>
        <w:rPr>
          <w:rFonts w:cs="Times New Roman"/>
        </w:rPr>
      </w:pPr>
      <w:r w:rsidRPr="00CD1189">
        <w:rPr>
          <w:rFonts w:cs="Times New Roman"/>
        </w:rPr>
        <w:t>more than $199 per week</w:t>
      </w:r>
    </w:p>
    <w:p w14:paraId="2FE4A425" w14:textId="77777777" w:rsidR="00725DB7" w:rsidRPr="00725DB7" w:rsidRDefault="00725DB7" w:rsidP="00725DB7">
      <w:pPr>
        <w:rPr>
          <w:rFonts w:cs="Times New Roman"/>
        </w:rPr>
      </w:pPr>
    </w:p>
    <w:p w14:paraId="6AFA7351" w14:textId="6C503CD1" w:rsidR="00CD1189" w:rsidRPr="00B121A0" w:rsidRDefault="00CD1189" w:rsidP="00B121A0">
      <w:pPr>
        <w:pStyle w:val="ListParagraph"/>
        <w:ind w:left="360"/>
      </w:pPr>
      <w:r w:rsidRPr="00B121A0">
        <w:t xml:space="preserve">The U.S. Bureau of Labor Statistics report </w:t>
      </w:r>
      <w:r w:rsidRPr="00725DB7">
        <w:rPr>
          <w:rFonts w:cs="Times New Roman"/>
        </w:rPr>
        <w:t>USDL-25-0105</w:t>
      </w:r>
      <w:r w:rsidRPr="00B121A0">
        <w:t xml:space="preserve"> indicated that:</w:t>
      </w:r>
    </w:p>
    <w:p w14:paraId="2526D547" w14:textId="77777777" w:rsidR="00CD1189" w:rsidRPr="00CD1189" w:rsidRDefault="00CD1189" w:rsidP="00CD1189">
      <w:pPr>
        <w:pStyle w:val="ListParagraph"/>
        <w:numPr>
          <w:ilvl w:val="0"/>
          <w:numId w:val="0"/>
        </w:numPr>
        <w:ind w:left="360"/>
        <w:rPr>
          <w:rFonts w:cs="Times New Roman"/>
        </w:rPr>
      </w:pPr>
    </w:p>
    <w:p w14:paraId="2B5C7F30" w14:textId="2076CC9D" w:rsidR="00CD1189" w:rsidRPr="00CD1189" w:rsidRDefault="00CD1189" w:rsidP="00CD1189">
      <w:pPr>
        <w:ind w:left="720"/>
        <w:rPr>
          <w:rFonts w:eastAsiaTheme="minorEastAsia" w:cs="Times New Roman"/>
          <w:bCs w:val="0"/>
          <w:lang w:eastAsia="zh-CN"/>
        </w:rPr>
      </w:pPr>
      <w:r w:rsidRPr="00CD1189">
        <w:rPr>
          <w:rFonts w:eastAsiaTheme="minorEastAsia" w:cs="Times New Roman"/>
          <w:bCs w:val="0"/>
          <w:lang w:eastAsia="zh-CN"/>
        </w:rPr>
        <w:t xml:space="preserve">In 2024, the union membership rate continued to be higher for full-time workers (10.7 percent) than for part-time workers (5.7 percent). </w:t>
      </w:r>
    </w:p>
    <w:p w14:paraId="2D63ACA9" w14:textId="77777777" w:rsidR="00CD1189" w:rsidRPr="00CD1189" w:rsidRDefault="00CD1189" w:rsidP="00CD1189">
      <w:pPr>
        <w:ind w:left="720" w:hanging="360"/>
        <w:rPr>
          <w:rFonts w:cs="Times New Roman"/>
        </w:rPr>
      </w:pPr>
    </w:p>
    <w:p w14:paraId="168822BE" w14:textId="67EE7BB3" w:rsidR="00CD1189" w:rsidRPr="00CD1189" w:rsidRDefault="00CD1189" w:rsidP="00CD1189">
      <w:pPr>
        <w:pStyle w:val="ListParagraph"/>
        <w:numPr>
          <w:ilvl w:val="0"/>
          <w:numId w:val="0"/>
        </w:numPr>
        <w:ind w:left="360"/>
        <w:rPr>
          <w:rFonts w:cs="Times New Roman"/>
        </w:rPr>
      </w:pPr>
      <w:r w:rsidRPr="00CD1189">
        <w:rPr>
          <w:rFonts w:cs="Times New Roman"/>
        </w:rPr>
        <w:t>Controlling only for whether a worker is part-time or full-time would plausibly make the union/nonunion gap ___.</w:t>
      </w:r>
    </w:p>
    <w:p w14:paraId="7FA97F61" w14:textId="77777777" w:rsidR="00CD1189" w:rsidRPr="00CD1189" w:rsidRDefault="00CD1189" w:rsidP="00CD1189">
      <w:pPr>
        <w:pStyle w:val="ListParagraph"/>
        <w:numPr>
          <w:ilvl w:val="0"/>
          <w:numId w:val="16"/>
        </w:numPr>
        <w:rPr>
          <w:rFonts w:cs="Times New Roman"/>
        </w:rPr>
      </w:pPr>
      <w:r w:rsidRPr="00CD1189">
        <w:rPr>
          <w:rFonts w:cs="Times New Roman"/>
        </w:rPr>
        <w:t>less than $199 per week</w:t>
      </w:r>
    </w:p>
    <w:p w14:paraId="24889A76" w14:textId="77777777" w:rsidR="00CD1189" w:rsidRPr="00CD1189" w:rsidRDefault="00CD1189" w:rsidP="00CD1189">
      <w:pPr>
        <w:pStyle w:val="ListParagraph"/>
        <w:numPr>
          <w:ilvl w:val="0"/>
          <w:numId w:val="16"/>
        </w:numPr>
        <w:rPr>
          <w:rFonts w:cs="Times New Roman"/>
        </w:rPr>
      </w:pPr>
      <w:r w:rsidRPr="00CD1189">
        <w:rPr>
          <w:rFonts w:cs="Times New Roman"/>
        </w:rPr>
        <w:t>$199 per week</w:t>
      </w:r>
    </w:p>
    <w:p w14:paraId="279A5BD6" w14:textId="77777777" w:rsidR="00CD1189" w:rsidRPr="00CD1189" w:rsidRDefault="00CD1189" w:rsidP="00CD1189">
      <w:pPr>
        <w:pStyle w:val="ListParagraph"/>
        <w:numPr>
          <w:ilvl w:val="0"/>
          <w:numId w:val="16"/>
        </w:numPr>
        <w:rPr>
          <w:rFonts w:cs="Times New Roman"/>
        </w:rPr>
      </w:pPr>
      <w:r w:rsidRPr="00CD1189">
        <w:rPr>
          <w:rFonts w:cs="Times New Roman"/>
        </w:rPr>
        <w:t>more than $199 per week</w:t>
      </w:r>
    </w:p>
    <w:p w14:paraId="73A4678A" w14:textId="77777777" w:rsidR="00CD1189" w:rsidRDefault="00CD1189" w:rsidP="00CD1189">
      <w:pPr>
        <w:rPr>
          <w:rFonts w:cs="Times New Roman"/>
        </w:rPr>
      </w:pPr>
    </w:p>
    <w:p w14:paraId="0823E414" w14:textId="3F33583E" w:rsidR="00CD1189" w:rsidRDefault="00CD1189" w:rsidP="00CD1189">
      <w:pPr>
        <w:rPr>
          <w:rFonts w:cs="Times New Roman"/>
        </w:rPr>
      </w:pPr>
      <w:r>
        <w:rPr>
          <w:rFonts w:cs="Times New Roman"/>
        </w:rPr>
        <w:t>---</w:t>
      </w:r>
    </w:p>
    <w:p w14:paraId="67E8EE6F" w14:textId="77777777" w:rsidR="00CD1189" w:rsidRDefault="00CD1189" w:rsidP="00CD1189">
      <w:pPr>
        <w:rPr>
          <w:rFonts w:cs="Times New Roman"/>
        </w:rPr>
      </w:pPr>
    </w:p>
    <w:p w14:paraId="76FA8DB5" w14:textId="637289F2" w:rsidR="00CD1189" w:rsidRPr="00B121A0" w:rsidRDefault="00B121A0" w:rsidP="00B121A0">
      <w:pPr>
        <w:pStyle w:val="ListParagraph"/>
        <w:ind w:left="360"/>
      </w:pPr>
      <w:r w:rsidRPr="00B121A0">
        <w:t xml:space="preserve">Documentation </w:t>
      </w:r>
      <w:r w:rsidR="00725DB7">
        <w:t>about</w:t>
      </w:r>
      <w:r w:rsidRPr="00B121A0">
        <w:t xml:space="preserve"> the </w:t>
      </w:r>
      <w:r w:rsidR="007C705B">
        <w:t xml:space="preserve">aforementioned </w:t>
      </w:r>
      <w:r w:rsidR="007C705B" w:rsidRPr="00B121A0">
        <w:t xml:space="preserve">U.S. Bureau of Labor Statistics </w:t>
      </w:r>
      <w:r w:rsidR="007C705B">
        <w:t xml:space="preserve">report indicated that, prior to 1994, </w:t>
      </w:r>
      <w:r w:rsidR="00725DB7">
        <w:t xml:space="preserve">survey </w:t>
      </w:r>
      <w:r w:rsidR="007C705B">
        <w:t xml:space="preserve">respondents were asked to report earnings per week. But, since January 1994, </w:t>
      </w:r>
      <w:r w:rsidR="00725DB7">
        <w:t xml:space="preserve">survey </w:t>
      </w:r>
      <w:r w:rsidR="007C705B">
        <w:t>respondents have been asked to report earnings across the time period that easiest for the respondent to report, such as hourly, weekly, biweekly, monthly, annually, or other. Provide a good reason for this change.</w:t>
      </w:r>
    </w:p>
    <w:p w14:paraId="6C85900F" w14:textId="77777777" w:rsidR="00B121A0" w:rsidRDefault="00B121A0" w:rsidP="00CD1189">
      <w:pPr>
        <w:rPr>
          <w:rFonts w:cs="Times New Roman"/>
        </w:rPr>
      </w:pPr>
    </w:p>
    <w:sectPr w:rsidR="00B121A0" w:rsidSect="00CD1189">
      <w:type w:val="continuous"/>
      <w:pgSz w:w="12240" w:h="15840"/>
      <w:pgMar w:top="1440" w:right="1440" w:bottom="1440" w:left="144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8A"/>
    <w:multiLevelType w:val="hybridMultilevel"/>
    <w:tmpl w:val="3AFA194A"/>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806086"/>
    <w:multiLevelType w:val="hybridMultilevel"/>
    <w:tmpl w:val="FA623174"/>
    <w:lvl w:ilvl="0" w:tplc="C64CC43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923D8"/>
    <w:multiLevelType w:val="hybridMultilevel"/>
    <w:tmpl w:val="7D9EA5BE"/>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1A0366"/>
    <w:multiLevelType w:val="hybridMultilevel"/>
    <w:tmpl w:val="70C00DD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99768EF"/>
    <w:multiLevelType w:val="hybridMultilevel"/>
    <w:tmpl w:val="B8342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274581"/>
    <w:multiLevelType w:val="hybridMultilevel"/>
    <w:tmpl w:val="5E2AC620"/>
    <w:lvl w:ilvl="0" w:tplc="333CCC2C">
      <w:start w:val="1"/>
      <w:numFmt w:val="bullet"/>
      <w:lvlText w:val="o"/>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EB919C3"/>
    <w:multiLevelType w:val="hybridMultilevel"/>
    <w:tmpl w:val="EFB4693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30593"/>
    <w:multiLevelType w:val="hybridMultilevel"/>
    <w:tmpl w:val="19320EC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74535"/>
    <w:multiLevelType w:val="hybridMultilevel"/>
    <w:tmpl w:val="1D742E48"/>
    <w:lvl w:ilvl="0" w:tplc="2BB2C90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268BB"/>
    <w:multiLevelType w:val="hybridMultilevel"/>
    <w:tmpl w:val="E4D08434"/>
    <w:lvl w:ilvl="0" w:tplc="F28CA7EE">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5BE5DF3"/>
    <w:multiLevelType w:val="hybridMultilevel"/>
    <w:tmpl w:val="DDE2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74233"/>
    <w:multiLevelType w:val="hybridMultilevel"/>
    <w:tmpl w:val="872C0F1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6E4EED"/>
    <w:multiLevelType w:val="hybridMultilevel"/>
    <w:tmpl w:val="32BA846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B269D"/>
    <w:multiLevelType w:val="hybridMultilevel"/>
    <w:tmpl w:val="05BAED9C"/>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1B0787E"/>
    <w:multiLevelType w:val="hybridMultilevel"/>
    <w:tmpl w:val="E0F4A90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5192C3E"/>
    <w:multiLevelType w:val="hybridMultilevel"/>
    <w:tmpl w:val="3BCEDF9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FF062A9"/>
    <w:multiLevelType w:val="hybridMultilevel"/>
    <w:tmpl w:val="E5883682"/>
    <w:lvl w:ilvl="0" w:tplc="BFC2E6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5"/>
  </w:num>
  <w:num w:numId="2" w16cid:durableId="695622156">
    <w:abstractNumId w:val="9"/>
  </w:num>
  <w:num w:numId="3" w16cid:durableId="263534080">
    <w:abstractNumId w:val="13"/>
  </w:num>
  <w:num w:numId="4" w16cid:durableId="1219588163">
    <w:abstractNumId w:val="17"/>
  </w:num>
  <w:num w:numId="5" w16cid:durableId="1803228778">
    <w:abstractNumId w:val="9"/>
    <w:lvlOverride w:ilvl="0">
      <w:startOverride w:val="3"/>
    </w:lvlOverride>
  </w:num>
  <w:num w:numId="6" w16cid:durableId="1258293439">
    <w:abstractNumId w:val="2"/>
  </w:num>
  <w:num w:numId="7" w16cid:durableId="1544755586">
    <w:abstractNumId w:val="12"/>
  </w:num>
  <w:num w:numId="8" w16cid:durableId="721909136">
    <w:abstractNumId w:val="10"/>
  </w:num>
  <w:num w:numId="9" w16cid:durableId="2120295730">
    <w:abstractNumId w:val="3"/>
  </w:num>
  <w:num w:numId="10" w16cid:durableId="798572234">
    <w:abstractNumId w:val="0"/>
  </w:num>
  <w:num w:numId="11" w16cid:durableId="2134671018">
    <w:abstractNumId w:val="16"/>
  </w:num>
  <w:num w:numId="12" w16cid:durableId="1012487259">
    <w:abstractNumId w:val="15"/>
  </w:num>
  <w:num w:numId="13" w16cid:durableId="197856439">
    <w:abstractNumId w:val="14"/>
  </w:num>
  <w:num w:numId="14" w16cid:durableId="50083359">
    <w:abstractNumId w:val="1"/>
  </w:num>
  <w:num w:numId="15" w16cid:durableId="730155290">
    <w:abstractNumId w:val="6"/>
  </w:num>
  <w:num w:numId="16" w16cid:durableId="760637761">
    <w:abstractNumId w:val="7"/>
  </w:num>
  <w:num w:numId="17" w16cid:durableId="1087000211">
    <w:abstractNumId w:val="8"/>
  </w:num>
  <w:num w:numId="18" w16cid:durableId="642541786">
    <w:abstractNumId w:val="11"/>
  </w:num>
  <w:num w:numId="19" w16cid:durableId="33496627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42774"/>
    <w:rsid w:val="00082AC5"/>
    <w:rsid w:val="00084D94"/>
    <w:rsid w:val="000855D9"/>
    <w:rsid w:val="00090FAB"/>
    <w:rsid w:val="000A1919"/>
    <w:rsid w:val="000B4BD0"/>
    <w:rsid w:val="000C0C31"/>
    <w:rsid w:val="000C527E"/>
    <w:rsid w:val="000E40E7"/>
    <w:rsid w:val="000E6FEC"/>
    <w:rsid w:val="00101590"/>
    <w:rsid w:val="0010561E"/>
    <w:rsid w:val="001440AC"/>
    <w:rsid w:val="00152F3C"/>
    <w:rsid w:val="001535D1"/>
    <w:rsid w:val="001601BF"/>
    <w:rsid w:val="00176176"/>
    <w:rsid w:val="0019444D"/>
    <w:rsid w:val="001A5ACF"/>
    <w:rsid w:val="001C21B5"/>
    <w:rsid w:val="001F2C25"/>
    <w:rsid w:val="00203772"/>
    <w:rsid w:val="002109D3"/>
    <w:rsid w:val="00234C99"/>
    <w:rsid w:val="0024433A"/>
    <w:rsid w:val="0026234E"/>
    <w:rsid w:val="00264019"/>
    <w:rsid w:val="002676EC"/>
    <w:rsid w:val="00283F4B"/>
    <w:rsid w:val="002A51C9"/>
    <w:rsid w:val="002A737A"/>
    <w:rsid w:val="002B2227"/>
    <w:rsid w:val="002C248A"/>
    <w:rsid w:val="002D690B"/>
    <w:rsid w:val="002E410E"/>
    <w:rsid w:val="002E7374"/>
    <w:rsid w:val="002F0C8F"/>
    <w:rsid w:val="0030211B"/>
    <w:rsid w:val="00311D8B"/>
    <w:rsid w:val="00312F76"/>
    <w:rsid w:val="0031510F"/>
    <w:rsid w:val="003161C0"/>
    <w:rsid w:val="00330F2F"/>
    <w:rsid w:val="00336BF4"/>
    <w:rsid w:val="00342CF7"/>
    <w:rsid w:val="003710A7"/>
    <w:rsid w:val="003726C5"/>
    <w:rsid w:val="00381228"/>
    <w:rsid w:val="00383B9C"/>
    <w:rsid w:val="00392575"/>
    <w:rsid w:val="00397BA5"/>
    <w:rsid w:val="003A12FD"/>
    <w:rsid w:val="003A5049"/>
    <w:rsid w:val="003A715A"/>
    <w:rsid w:val="003C390F"/>
    <w:rsid w:val="003D764C"/>
    <w:rsid w:val="003F1D98"/>
    <w:rsid w:val="00404120"/>
    <w:rsid w:val="00406015"/>
    <w:rsid w:val="004177B2"/>
    <w:rsid w:val="00417C22"/>
    <w:rsid w:val="00421FAE"/>
    <w:rsid w:val="00435F99"/>
    <w:rsid w:val="00441C97"/>
    <w:rsid w:val="00443978"/>
    <w:rsid w:val="004522F2"/>
    <w:rsid w:val="00452450"/>
    <w:rsid w:val="00463474"/>
    <w:rsid w:val="00472E4A"/>
    <w:rsid w:val="004855DB"/>
    <w:rsid w:val="00485A59"/>
    <w:rsid w:val="00485BD4"/>
    <w:rsid w:val="004C517C"/>
    <w:rsid w:val="004C769E"/>
    <w:rsid w:val="004D28F5"/>
    <w:rsid w:val="004D48F2"/>
    <w:rsid w:val="004E182E"/>
    <w:rsid w:val="004E3593"/>
    <w:rsid w:val="004F47F7"/>
    <w:rsid w:val="005048A1"/>
    <w:rsid w:val="00523207"/>
    <w:rsid w:val="00525BC0"/>
    <w:rsid w:val="00527612"/>
    <w:rsid w:val="00530B63"/>
    <w:rsid w:val="00550392"/>
    <w:rsid w:val="0055223C"/>
    <w:rsid w:val="0055714F"/>
    <w:rsid w:val="00562F0F"/>
    <w:rsid w:val="005650B8"/>
    <w:rsid w:val="00565486"/>
    <w:rsid w:val="00567B94"/>
    <w:rsid w:val="0057292A"/>
    <w:rsid w:val="00574204"/>
    <w:rsid w:val="00577240"/>
    <w:rsid w:val="005F363A"/>
    <w:rsid w:val="00624C8A"/>
    <w:rsid w:val="00630042"/>
    <w:rsid w:val="00637534"/>
    <w:rsid w:val="00645AF6"/>
    <w:rsid w:val="0065476D"/>
    <w:rsid w:val="00656CC4"/>
    <w:rsid w:val="00657118"/>
    <w:rsid w:val="006635A5"/>
    <w:rsid w:val="00680261"/>
    <w:rsid w:val="006A0AF1"/>
    <w:rsid w:val="006A4792"/>
    <w:rsid w:val="006A4E21"/>
    <w:rsid w:val="006A4E86"/>
    <w:rsid w:val="006B0B08"/>
    <w:rsid w:val="006B3875"/>
    <w:rsid w:val="006B50B2"/>
    <w:rsid w:val="006D2F12"/>
    <w:rsid w:val="006D3A68"/>
    <w:rsid w:val="006E2616"/>
    <w:rsid w:val="006F3A7E"/>
    <w:rsid w:val="007211B9"/>
    <w:rsid w:val="00725DB7"/>
    <w:rsid w:val="00733C7E"/>
    <w:rsid w:val="007342CF"/>
    <w:rsid w:val="00734B10"/>
    <w:rsid w:val="0074199F"/>
    <w:rsid w:val="00745200"/>
    <w:rsid w:val="00746FB0"/>
    <w:rsid w:val="00750A7A"/>
    <w:rsid w:val="00755756"/>
    <w:rsid w:val="00770015"/>
    <w:rsid w:val="007720A1"/>
    <w:rsid w:val="00785BFF"/>
    <w:rsid w:val="007955BD"/>
    <w:rsid w:val="007B0CC1"/>
    <w:rsid w:val="007B51A6"/>
    <w:rsid w:val="007C705B"/>
    <w:rsid w:val="007D3279"/>
    <w:rsid w:val="007D79C9"/>
    <w:rsid w:val="007E52B1"/>
    <w:rsid w:val="008004AE"/>
    <w:rsid w:val="00801125"/>
    <w:rsid w:val="00801563"/>
    <w:rsid w:val="008046E4"/>
    <w:rsid w:val="00815AA0"/>
    <w:rsid w:val="00822176"/>
    <w:rsid w:val="00822183"/>
    <w:rsid w:val="008645A2"/>
    <w:rsid w:val="00873676"/>
    <w:rsid w:val="008A188D"/>
    <w:rsid w:val="008A5406"/>
    <w:rsid w:val="008C24DB"/>
    <w:rsid w:val="008D2C7E"/>
    <w:rsid w:val="008D74A7"/>
    <w:rsid w:val="008E2FC7"/>
    <w:rsid w:val="008F1FFC"/>
    <w:rsid w:val="00902494"/>
    <w:rsid w:val="00904010"/>
    <w:rsid w:val="00923E78"/>
    <w:rsid w:val="00925171"/>
    <w:rsid w:val="00930AC1"/>
    <w:rsid w:val="00930C0A"/>
    <w:rsid w:val="00934775"/>
    <w:rsid w:val="00936786"/>
    <w:rsid w:val="0094239A"/>
    <w:rsid w:val="00954AF4"/>
    <w:rsid w:val="0095695C"/>
    <w:rsid w:val="0099199C"/>
    <w:rsid w:val="00992A08"/>
    <w:rsid w:val="0099715C"/>
    <w:rsid w:val="009A1B0B"/>
    <w:rsid w:val="009A1FE7"/>
    <w:rsid w:val="009A39EA"/>
    <w:rsid w:val="009A6473"/>
    <w:rsid w:val="009D7123"/>
    <w:rsid w:val="00A04151"/>
    <w:rsid w:val="00A06EA6"/>
    <w:rsid w:val="00A20267"/>
    <w:rsid w:val="00A27282"/>
    <w:rsid w:val="00A27ED6"/>
    <w:rsid w:val="00A41E98"/>
    <w:rsid w:val="00A47DE0"/>
    <w:rsid w:val="00A57A8E"/>
    <w:rsid w:val="00A57FAF"/>
    <w:rsid w:val="00A6164B"/>
    <w:rsid w:val="00A623B0"/>
    <w:rsid w:val="00A72EEC"/>
    <w:rsid w:val="00A86F7D"/>
    <w:rsid w:val="00A94CA4"/>
    <w:rsid w:val="00A97238"/>
    <w:rsid w:val="00AB5F90"/>
    <w:rsid w:val="00AC4A41"/>
    <w:rsid w:val="00AC4AD2"/>
    <w:rsid w:val="00AD7F91"/>
    <w:rsid w:val="00AE37A9"/>
    <w:rsid w:val="00AF403F"/>
    <w:rsid w:val="00B121A0"/>
    <w:rsid w:val="00B20A07"/>
    <w:rsid w:val="00B242B9"/>
    <w:rsid w:val="00B246B4"/>
    <w:rsid w:val="00B27EDA"/>
    <w:rsid w:val="00B57EA0"/>
    <w:rsid w:val="00B734BC"/>
    <w:rsid w:val="00BA161F"/>
    <w:rsid w:val="00BA2D24"/>
    <w:rsid w:val="00BA38DE"/>
    <w:rsid w:val="00BB5527"/>
    <w:rsid w:val="00BB6ACE"/>
    <w:rsid w:val="00BF52CD"/>
    <w:rsid w:val="00C05B8A"/>
    <w:rsid w:val="00C30DF1"/>
    <w:rsid w:val="00C31209"/>
    <w:rsid w:val="00C42B39"/>
    <w:rsid w:val="00C50AA6"/>
    <w:rsid w:val="00C56CD7"/>
    <w:rsid w:val="00C671CB"/>
    <w:rsid w:val="00C83374"/>
    <w:rsid w:val="00C84E22"/>
    <w:rsid w:val="00C91062"/>
    <w:rsid w:val="00C96159"/>
    <w:rsid w:val="00CA5FEB"/>
    <w:rsid w:val="00CC1BC5"/>
    <w:rsid w:val="00CC4726"/>
    <w:rsid w:val="00CD1189"/>
    <w:rsid w:val="00CD24EE"/>
    <w:rsid w:val="00CE0BD2"/>
    <w:rsid w:val="00CE5158"/>
    <w:rsid w:val="00CE6AAC"/>
    <w:rsid w:val="00CF7AC0"/>
    <w:rsid w:val="00D0586E"/>
    <w:rsid w:val="00D061A9"/>
    <w:rsid w:val="00D13358"/>
    <w:rsid w:val="00D1491F"/>
    <w:rsid w:val="00D14BF0"/>
    <w:rsid w:val="00D16594"/>
    <w:rsid w:val="00D17BC0"/>
    <w:rsid w:val="00D322B9"/>
    <w:rsid w:val="00D56FCE"/>
    <w:rsid w:val="00D57E8D"/>
    <w:rsid w:val="00D65720"/>
    <w:rsid w:val="00D7730B"/>
    <w:rsid w:val="00D87FA1"/>
    <w:rsid w:val="00DB0EA1"/>
    <w:rsid w:val="00DB4291"/>
    <w:rsid w:val="00DC1266"/>
    <w:rsid w:val="00DD5EB4"/>
    <w:rsid w:val="00DE17FE"/>
    <w:rsid w:val="00DE69C1"/>
    <w:rsid w:val="00DE7FD4"/>
    <w:rsid w:val="00DF5E68"/>
    <w:rsid w:val="00E022A4"/>
    <w:rsid w:val="00E061AD"/>
    <w:rsid w:val="00E206D3"/>
    <w:rsid w:val="00E21538"/>
    <w:rsid w:val="00E2786D"/>
    <w:rsid w:val="00E51A2B"/>
    <w:rsid w:val="00E61E5B"/>
    <w:rsid w:val="00E74F2A"/>
    <w:rsid w:val="00E80656"/>
    <w:rsid w:val="00E84450"/>
    <w:rsid w:val="00E90A3B"/>
    <w:rsid w:val="00EA61C8"/>
    <w:rsid w:val="00EF0036"/>
    <w:rsid w:val="00EF1504"/>
    <w:rsid w:val="00F00764"/>
    <w:rsid w:val="00F10461"/>
    <w:rsid w:val="00F12BC7"/>
    <w:rsid w:val="00F24E2B"/>
    <w:rsid w:val="00F34EC7"/>
    <w:rsid w:val="00F97BD6"/>
    <w:rsid w:val="00FA2548"/>
    <w:rsid w:val="00FA352D"/>
    <w:rsid w:val="00FA64C4"/>
    <w:rsid w:val="00FB0ABB"/>
    <w:rsid w:val="00FB0BBD"/>
    <w:rsid w:val="00FB632A"/>
    <w:rsid w:val="00FD23BF"/>
    <w:rsid w:val="00FD485A"/>
    <w:rsid w:val="00FD73AF"/>
    <w:rsid w:val="00FE4391"/>
    <w:rsid w:val="00FF64C6"/>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89"/>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2"/>
      </w:numPr>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character" w:styleId="Hyperlink">
    <w:name w:val="Hyperlink"/>
    <w:basedOn w:val="DefaultParagraphFont"/>
    <w:uiPriority w:val="99"/>
    <w:unhideWhenUsed/>
    <w:rsid w:val="001C21B5"/>
    <w:rPr>
      <w:color w:val="467886" w:themeColor="hyperlink"/>
      <w:u w:val="single"/>
    </w:rPr>
  </w:style>
  <w:style w:type="character" w:styleId="UnresolvedMention">
    <w:name w:val="Unresolved Mention"/>
    <w:basedOn w:val="DefaultParagraphFont"/>
    <w:uiPriority w:val="99"/>
    <w:semiHidden/>
    <w:unhideWhenUsed/>
    <w:rsid w:val="001C21B5"/>
    <w:rPr>
      <w:color w:val="605E5C"/>
      <w:shd w:val="clear" w:color="auto" w:fill="E1DFDD"/>
    </w:rPr>
  </w:style>
  <w:style w:type="character" w:styleId="FollowedHyperlink">
    <w:name w:val="FollowedHyperlink"/>
    <w:basedOn w:val="DefaultParagraphFont"/>
    <w:uiPriority w:val="99"/>
    <w:semiHidden/>
    <w:unhideWhenUsed/>
    <w:rsid w:val="00725D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eb.archive.org/web/20250410223223/https:/www.bls.gov/news.release/union2.nr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rchive.org/web/20250410223223/https:/www.bls.gov/news.release/union2.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250410223223/https:/www.bls.gov/news.release/union2.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archive.org/web/20250410223223/https:/www.bls.gov/news.release/union2.nr0.ht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6</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71</cp:revision>
  <cp:lastPrinted>2025-04-24T13:13:00Z</cp:lastPrinted>
  <dcterms:created xsi:type="dcterms:W3CDTF">2025-03-05T14:57:00Z</dcterms:created>
  <dcterms:modified xsi:type="dcterms:W3CDTF">2025-04-28T15:02:00Z</dcterms:modified>
</cp:coreProperties>
</file>